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line="360" w:lineRule="auto"/>
        <w:jc w:val="center"/>
        <w:rPr>
          <w:rFonts w:ascii="黑体" w:hAnsi="黑体" w:eastAsia="黑体"/>
          <w:sz w:val="32"/>
          <w:szCs w:val="32"/>
        </w:rPr>
      </w:pPr>
      <w:bookmarkStart w:id="0" w:name="_Toc9061"/>
      <w:r>
        <w:rPr>
          <w:rFonts w:hint="eastAsia" w:ascii="黑体" w:hAnsi="黑体" w:eastAsia="黑体"/>
          <w:sz w:val="32"/>
          <w:szCs w:val="32"/>
        </w:rPr>
        <w:t>采购需求</w:t>
      </w:r>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一、项目</w:t>
      </w:r>
      <w:r>
        <w:rPr>
          <w:rFonts w:hint="eastAsia" w:ascii="宋体" w:hAnsi="宋体" w:cs="宋体"/>
          <w:b/>
          <w:color w:val="auto"/>
          <w:szCs w:val="21"/>
          <w:highlight w:val="none"/>
          <w:lang w:val="en-US" w:eastAsia="zh-CN"/>
        </w:rPr>
        <w:t>基本情况</w:t>
      </w:r>
      <w:r>
        <w:rPr>
          <w:rFonts w:hint="eastAsia" w:ascii="宋体" w:hAnsi="宋体" w:eastAsia="宋体" w:cs="宋体"/>
          <w:b/>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1、项目</w:t>
      </w:r>
      <w:r>
        <w:rPr>
          <w:rFonts w:hint="eastAsia" w:ascii="宋体" w:hAnsi="宋体" w:eastAsia="宋体" w:cs="宋体"/>
          <w:color w:val="auto"/>
          <w:sz w:val="21"/>
          <w:szCs w:val="21"/>
          <w:highlight w:val="none"/>
          <w:lang w:val="en-US" w:eastAsia="zh-CN"/>
        </w:rPr>
        <w:t>名称：</w:t>
      </w:r>
      <w:r>
        <w:rPr>
          <w:rFonts w:hint="eastAsia" w:ascii="宋体" w:hAnsi="宋体" w:eastAsia="宋体" w:cs="宋体"/>
          <w:sz w:val="21"/>
          <w:szCs w:val="21"/>
          <w:lang w:val="en-US" w:eastAsia="zh-CN"/>
        </w:rPr>
        <w:t>株洲市渌口区中医医院钬激光</w:t>
      </w:r>
      <w:r>
        <w:rPr>
          <w:rFonts w:hint="eastAsia" w:ascii="宋体" w:hAnsi="宋体" w:eastAsia="宋体" w:cs="宋体"/>
          <w:sz w:val="21"/>
          <w:szCs w:val="21"/>
          <w:lang w:eastAsia="zh-CN"/>
        </w:rPr>
        <w:t>设备采购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lang w:val="en-US" w:eastAsia="zh-CN"/>
        </w:rPr>
        <w:t>地点：</w:t>
      </w:r>
      <w:r>
        <w:rPr>
          <w:rFonts w:hint="eastAsia" w:ascii="宋体" w:hAnsi="宋体" w:eastAsia="宋体" w:cs="宋体"/>
          <w:sz w:val="21"/>
          <w:szCs w:val="21"/>
          <w:lang w:val="en-US" w:eastAsia="zh-CN"/>
        </w:rPr>
        <w:t>株洲市渌口区中医医院</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3、采购预算：</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lang w:val="en-US" w:eastAsia="zh-CN"/>
        </w:rPr>
        <w:t>0000元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、采购数量：1</w:t>
      </w:r>
      <w:r>
        <w:rPr>
          <w:rFonts w:hint="eastAsia" w:ascii="宋体" w:hAnsi="宋体" w:cs="宋体"/>
          <w:color w:val="auto"/>
          <w:sz w:val="21"/>
          <w:szCs w:val="21"/>
          <w:highlight w:val="none"/>
          <w:lang w:val="en-US" w:eastAsia="zh-CN"/>
        </w:rPr>
        <w:t>台</w:t>
      </w:r>
    </w:p>
    <w:p>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二、技术参数要求</w:t>
      </w:r>
    </w:p>
    <w:p>
      <w:pPr>
        <w:jc w:val="center"/>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钬激光设备主要技术参数</w:t>
      </w:r>
    </w:p>
    <w:p>
      <w:pPr>
        <w:rPr>
          <w:rFonts w:hint="eastAsia" w:ascii="Arial" w:hAnsi="Arial" w:cs="Arial"/>
          <w:szCs w:val="21"/>
        </w:rPr>
      </w:pP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rPr>
        <w:t>用于泌尿系结石的碎石，泌尿系肿瘤的汽化和凝固。皮肤科用于尖锐湿疣、肉芽肿、浅皮肿瘤的汽化和凝固。</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 xml:space="preserve">光纤终端输出平均功率：50~60W </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光纤末端单脉冲能量：0.5J</w:t>
      </w:r>
      <w:r>
        <w:rPr>
          <w:rFonts w:hint="eastAsia" w:ascii="宋体" w:hAnsi="宋体" w:eastAsia="宋体" w:cs="宋体"/>
          <w:sz w:val="21"/>
          <w:szCs w:val="21"/>
        </w:rPr>
        <w:t>~</w:t>
      </w:r>
      <w:r>
        <w:rPr>
          <w:rFonts w:hint="eastAsia" w:ascii="宋体" w:hAnsi="宋体" w:eastAsia="宋体" w:cs="宋体"/>
          <w:color w:val="000000"/>
          <w:sz w:val="21"/>
          <w:szCs w:val="21"/>
          <w:lang w:val="zh-CN"/>
        </w:rPr>
        <w:t xml:space="preserve">4.0J  </w:t>
      </w:r>
    </w:p>
    <w:p>
      <w:pPr>
        <w:numPr>
          <w:ilvl w:val="0"/>
          <w:numId w:val="1"/>
        </w:numPr>
        <w:tabs>
          <w:tab w:val="left" w:pos="360"/>
        </w:tabs>
        <w:snapToGrid w:val="0"/>
        <w:spacing w:line="360" w:lineRule="auto"/>
        <w:rPr>
          <w:rFonts w:hint="eastAsia" w:ascii="宋体" w:hAnsi="宋体" w:eastAsia="宋体" w:cs="宋体"/>
          <w:sz w:val="21"/>
          <w:szCs w:val="21"/>
        </w:rPr>
      </w:pPr>
      <w:r>
        <w:rPr>
          <w:rFonts w:hint="eastAsia" w:ascii="宋体" w:hAnsi="宋体" w:eastAsia="宋体" w:cs="宋体"/>
          <w:color w:val="000000"/>
          <w:sz w:val="21"/>
          <w:szCs w:val="21"/>
          <w:lang w:val="zh-CN"/>
        </w:rPr>
        <w:t>具有控制能量稳定功能，使激光能量输出不稳定度</w:t>
      </w:r>
      <w:r>
        <w:rPr>
          <w:rFonts w:hint="eastAsia" w:ascii="宋体" w:hAnsi="宋体" w:eastAsia="宋体" w:cs="宋体"/>
          <w:spacing w:val="-6"/>
          <w:sz w:val="21"/>
          <w:szCs w:val="21"/>
        </w:rPr>
        <w:t>：</w:t>
      </w:r>
      <w:r>
        <w:rPr>
          <w:rFonts w:hint="eastAsia" w:ascii="宋体" w:hAnsi="宋体" w:eastAsia="宋体" w:cs="宋体"/>
          <w:sz w:val="21"/>
          <w:szCs w:val="21"/>
        </w:rPr>
        <w:t>≤±5%</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sz w:val="21"/>
          <w:szCs w:val="21"/>
        </w:rPr>
        <w:t xml:space="preserve">具有控制能量稳定功能，使激光输出功率的复现性：≤±5% </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工作激光输出波长：2100nm</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激光器工作方式：脉冲</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脉冲重复频率：5Hz</w:t>
      </w:r>
      <w:r>
        <w:rPr>
          <w:rFonts w:hint="eastAsia" w:ascii="宋体" w:hAnsi="宋体" w:eastAsia="宋体" w:cs="宋体"/>
          <w:sz w:val="21"/>
          <w:szCs w:val="21"/>
        </w:rPr>
        <w:t>~</w:t>
      </w:r>
      <w:r>
        <w:rPr>
          <w:rFonts w:hint="eastAsia" w:ascii="宋体" w:hAnsi="宋体" w:eastAsia="宋体" w:cs="宋体"/>
          <w:color w:val="000000"/>
          <w:sz w:val="21"/>
          <w:szCs w:val="21"/>
          <w:lang w:val="zh-CN"/>
        </w:rPr>
        <w:t>30Hz可调</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rPr>
        <w:t>▲</w:t>
      </w:r>
      <w:r>
        <w:rPr>
          <w:rFonts w:hint="eastAsia" w:ascii="宋体" w:hAnsi="宋体" w:eastAsia="宋体" w:cs="宋体"/>
          <w:sz w:val="21"/>
          <w:szCs w:val="21"/>
        </w:rPr>
        <w:t>脉冲宽度范围可调：200μs~800μs可调，最窄脉宽和最宽脉宽区间范围≥600μs，宽脉宽原位碎石粉末化，止血好，切割止血同步进行；窄脉宽碎块化。</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传输系统：</w:t>
      </w:r>
      <w:r>
        <w:rPr>
          <w:rFonts w:hint="eastAsia" w:ascii="宋体" w:hAnsi="宋体" w:eastAsia="宋体" w:cs="宋体"/>
          <w:sz w:val="21"/>
          <w:szCs w:val="21"/>
        </w:rPr>
        <w:t>多种规格光纤（</w:t>
      </w:r>
      <w:r>
        <w:rPr>
          <w:rFonts w:hint="eastAsia" w:ascii="宋体" w:hAnsi="宋体" w:eastAsia="宋体" w:cs="宋体"/>
          <w:color w:val="000000"/>
          <w:sz w:val="21"/>
          <w:szCs w:val="21"/>
          <w:lang w:val="zh-CN"/>
        </w:rPr>
        <w:t>200μm、272μm、365μm、550μm、800μm和1000μm</w:t>
      </w:r>
      <w:r>
        <w:rPr>
          <w:rFonts w:hint="eastAsia" w:ascii="宋体" w:hAnsi="宋体" w:eastAsia="宋体" w:cs="宋体"/>
          <w:color w:val="000000"/>
          <w:sz w:val="21"/>
          <w:szCs w:val="21"/>
        </w:rPr>
        <w:t>可选</w:t>
      </w:r>
      <w:r>
        <w:rPr>
          <w:rFonts w:hint="eastAsia" w:ascii="宋体" w:hAnsi="宋体" w:eastAsia="宋体" w:cs="宋体"/>
          <w:sz w:val="21"/>
          <w:szCs w:val="21"/>
        </w:rPr>
        <w:t>）。</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sz w:val="21"/>
          <w:szCs w:val="21"/>
        </w:rPr>
        <w:t>光纤为四层结构。</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sz w:val="21"/>
          <w:szCs w:val="21"/>
        </w:rPr>
        <w:t>软光纤最小弯曲半径：200μm光纤≤3.0cm，272μm光纤≤4.1cm，光纤弯曲半径小，输尿管软镜弯曲不受影响，光纤不会漏光，镜子不会被光纤打坏。</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rPr>
        <w:t>▲</w:t>
      </w:r>
      <w:r>
        <w:rPr>
          <w:rFonts w:hint="eastAsia" w:ascii="宋体" w:hAnsi="宋体" w:eastAsia="宋体" w:cs="宋体"/>
          <w:sz w:val="21"/>
          <w:szCs w:val="21"/>
        </w:rPr>
        <w:t>激光耦合效率</w:t>
      </w:r>
      <w:r>
        <w:rPr>
          <w:rFonts w:hint="eastAsia" w:ascii="宋体" w:hAnsi="宋体" w:eastAsia="宋体" w:cs="宋体"/>
          <w:color w:val="000000"/>
          <w:sz w:val="21"/>
          <w:szCs w:val="21"/>
        </w:rPr>
        <w:t>≥90%（具有国家资质的检测机构出具检测报告）</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护眼指示光：绿光，波长520nm，功率≤5mW</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 xml:space="preserve">控制方式:8英寸全触摸彩色控制屏。  </w:t>
      </w:r>
    </w:p>
    <w:p>
      <w:pPr>
        <w:numPr>
          <w:ilvl w:val="0"/>
          <w:numId w:val="1"/>
        </w:numPr>
        <w:tabs>
          <w:tab w:val="left" w:pos="360"/>
        </w:tabs>
        <w:snapToGrid w:val="0"/>
        <w:spacing w:line="360" w:lineRule="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专家数据库：嵌入式微电脑内置专家数据库。</w:t>
      </w:r>
    </w:p>
    <w:p>
      <w:pPr>
        <w:numPr>
          <w:ilvl w:val="0"/>
          <w:numId w:val="1"/>
        </w:numPr>
        <w:tabs>
          <w:tab w:val="left" w:pos="360"/>
        </w:tabs>
        <w:snapToGrid w:val="0"/>
        <w:spacing w:line="360" w:lineRule="auto"/>
        <w:rPr>
          <w:rFonts w:hint="eastAsia" w:ascii="宋体" w:hAnsi="宋体" w:eastAsia="宋体" w:cs="宋体"/>
          <w:sz w:val="21"/>
          <w:szCs w:val="21"/>
          <w:lang w:val="zh-CN"/>
        </w:rPr>
      </w:pPr>
      <w:r>
        <w:rPr>
          <w:rFonts w:hint="eastAsia" w:ascii="宋体" w:hAnsi="宋体" w:eastAsia="宋体" w:cs="宋体"/>
          <w:sz w:val="21"/>
          <w:szCs w:val="21"/>
          <w:lang w:val="zh-CN"/>
        </w:rPr>
        <w:t>电源：</w:t>
      </w:r>
      <w:r>
        <w:rPr>
          <w:rFonts w:hint="eastAsia" w:ascii="宋体" w:hAnsi="宋体" w:eastAsia="宋体" w:cs="宋体"/>
          <w:sz w:val="21"/>
          <w:szCs w:val="21"/>
        </w:rPr>
        <w:t xml:space="preserve">AC220V/50Hz </w:t>
      </w:r>
    </w:p>
    <w:p>
      <w:pPr>
        <w:numPr>
          <w:ilvl w:val="0"/>
          <w:numId w:val="1"/>
        </w:numPr>
        <w:tabs>
          <w:tab w:val="left" w:pos="360"/>
        </w:tabs>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zh-CN"/>
        </w:rPr>
        <w:t>冷却系统：内置压缩机制冷；</w:t>
      </w:r>
      <w:r>
        <w:rPr>
          <w:rFonts w:hint="eastAsia" w:ascii="宋体" w:hAnsi="宋体" w:eastAsia="宋体" w:cs="宋体"/>
          <w:sz w:val="21"/>
          <w:szCs w:val="21"/>
        </w:rPr>
        <w:t>拥有制冷专利技术，确保性能稳定。</w:t>
      </w:r>
    </w:p>
    <w:p>
      <w:pPr>
        <w:numPr>
          <w:ilvl w:val="0"/>
          <w:numId w:val="1"/>
        </w:numPr>
        <w:tabs>
          <w:tab w:val="left" w:pos="360"/>
        </w:tabs>
        <w:snapToGrid w:val="0"/>
        <w:spacing w:line="360" w:lineRule="auto"/>
        <w:rPr>
          <w:rFonts w:hint="eastAsia" w:ascii="宋体" w:hAnsi="宋体" w:eastAsia="宋体" w:cs="宋体"/>
          <w:color w:val="000000"/>
          <w:sz w:val="21"/>
          <w:szCs w:val="21"/>
        </w:rPr>
      </w:pPr>
      <w:r>
        <w:rPr>
          <w:rFonts w:hint="eastAsia" w:ascii="宋体" w:hAnsi="宋体" w:eastAsia="宋体" w:cs="宋体"/>
          <w:sz w:val="21"/>
          <w:szCs w:val="21"/>
        </w:rPr>
        <w:t>噪声小于70dB。</w:t>
      </w:r>
    </w:p>
    <w:p>
      <w:pPr>
        <w:numPr>
          <w:ilvl w:val="0"/>
          <w:numId w:val="1"/>
        </w:numPr>
        <w:tabs>
          <w:tab w:val="left" w:pos="360"/>
        </w:tabs>
        <w:snapToGrid w:val="0"/>
        <w:spacing w:line="360" w:lineRule="auto"/>
        <w:rPr>
          <w:rFonts w:hint="eastAsia" w:ascii="宋体" w:hAnsi="宋体" w:eastAsia="宋体" w:cs="宋体"/>
          <w:sz w:val="21"/>
          <w:szCs w:val="21"/>
        </w:rPr>
      </w:pPr>
      <w:r>
        <w:rPr>
          <w:rFonts w:hint="eastAsia" w:ascii="宋体" w:hAnsi="宋体" w:eastAsia="宋体" w:cs="宋体"/>
          <w:sz w:val="21"/>
          <w:szCs w:val="21"/>
        </w:rPr>
        <w:t>生产企业通过ISO9001:2015、ISO13485:2016认证。</w:t>
      </w:r>
    </w:p>
    <w:p>
      <w:pPr>
        <w:numPr>
          <w:ilvl w:val="0"/>
          <w:numId w:val="1"/>
        </w:numPr>
        <w:tabs>
          <w:tab w:val="left" w:pos="360"/>
        </w:tabs>
        <w:snapToGrid w:val="0"/>
        <w:spacing w:line="360" w:lineRule="auto"/>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治疗机可靠性：连续工作8小时功率无衰减（具有国家资质的检测机构出具检测报告）</w:t>
      </w:r>
    </w:p>
    <w:p>
      <w:pPr>
        <w:numPr>
          <w:ilvl w:val="0"/>
          <w:numId w:val="1"/>
        </w:numPr>
        <w:tabs>
          <w:tab w:val="left" w:pos="360"/>
        </w:tabs>
        <w:snapToGrid w:val="0"/>
        <w:spacing w:line="360" w:lineRule="auto"/>
        <w:rPr>
          <w:rFonts w:hint="eastAsia" w:ascii="宋体" w:hAnsi="宋体" w:eastAsia="宋体" w:cs="宋体"/>
          <w:sz w:val="21"/>
          <w:szCs w:val="21"/>
        </w:rPr>
      </w:pPr>
      <w:r>
        <w:rPr>
          <w:rFonts w:hint="eastAsia" w:ascii="宋体" w:hAnsi="宋体" w:eastAsia="宋体" w:cs="宋体"/>
          <w:sz w:val="21"/>
          <w:szCs w:val="21"/>
        </w:rPr>
        <w:t>拥有软件著作权。</w:t>
      </w:r>
    </w:p>
    <w:p>
      <w:pPr>
        <w:numPr>
          <w:ilvl w:val="0"/>
          <w:numId w:val="1"/>
        </w:numPr>
        <w:tabs>
          <w:tab w:val="left" w:pos="360"/>
        </w:tabs>
        <w:snapToGrid w:val="0"/>
        <w:spacing w:line="360" w:lineRule="auto"/>
        <w:rPr>
          <w:rFonts w:hint="eastAsia" w:ascii="宋体" w:hAnsi="宋体" w:eastAsia="宋体" w:cs="宋体"/>
          <w:sz w:val="21"/>
          <w:szCs w:val="21"/>
        </w:rPr>
      </w:pPr>
      <w:r>
        <w:rPr>
          <w:rFonts w:hint="eastAsia" w:ascii="宋体" w:hAnsi="宋体" w:eastAsia="宋体" w:cs="宋体"/>
          <w:sz w:val="21"/>
          <w:szCs w:val="21"/>
        </w:rPr>
        <w:t>有中国医学装备协会适宜技术推广培训基地。</w:t>
      </w:r>
    </w:p>
    <w:p>
      <w:pPr>
        <w:numPr>
          <w:ilvl w:val="0"/>
          <w:numId w:val="1"/>
        </w:numPr>
        <w:tabs>
          <w:tab w:val="left" w:pos="360"/>
        </w:tabs>
        <w:snapToGrid w:val="0"/>
        <w:spacing w:line="360" w:lineRule="auto"/>
        <w:rPr>
          <w:rFonts w:hint="eastAsia"/>
        </w:rPr>
      </w:pPr>
      <w:r>
        <w:rPr>
          <w:rFonts w:hint="eastAsia" w:ascii="宋体" w:hAnsi="宋体" w:eastAsia="宋体" w:cs="宋体"/>
          <w:sz w:val="21"/>
          <w:szCs w:val="21"/>
        </w:rPr>
        <w:t>提供备用机：设备故障，现场不能修复的，无偿提供备用机以保证用户单位的正常使用。</w:t>
      </w:r>
    </w:p>
    <w:p>
      <w:pPr>
        <w:keepNext/>
        <w:keepLines/>
        <w:spacing w:line="360" w:lineRule="auto"/>
        <w:jc w:val="center"/>
        <w:outlineLvl w:val="1"/>
        <w:rPr>
          <w:rFonts w:hint="eastAsia" w:ascii="宋体" w:hAnsi="宋体" w:eastAsia="宋体" w:cs="宋体"/>
          <w:b/>
          <w:bCs/>
          <w:color w:val="auto"/>
          <w:sz w:val="32"/>
          <w:szCs w:val="32"/>
        </w:rPr>
      </w:pPr>
    </w:p>
    <w:p>
      <w:pPr>
        <w:keepNext/>
        <w:keepLines/>
        <w:spacing w:line="360" w:lineRule="auto"/>
        <w:jc w:val="both"/>
        <w:outlineLvl w:val="1"/>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三、商务要求</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一</w:t>
      </w:r>
      <w:r>
        <w:rPr>
          <w:rFonts w:hint="eastAsia" w:ascii="宋体" w:hAnsi="宋体" w:cs="宋体"/>
          <w:color w:val="auto"/>
          <w:sz w:val="21"/>
          <w:szCs w:val="21"/>
          <w:lang w:val="en-US" w:eastAsia="zh-CN"/>
        </w:rPr>
        <w:t>）</w:t>
      </w:r>
      <w:r>
        <w:rPr>
          <w:rFonts w:hint="eastAsia" w:ascii="宋体" w:hAnsi="宋体" w:eastAsia="宋体" w:cs="宋体"/>
          <w:b/>
          <w:bCs/>
          <w:color w:val="auto"/>
          <w:kern w:val="44"/>
          <w:sz w:val="21"/>
          <w:szCs w:val="21"/>
          <w:highlight w:val="none"/>
        </w:rPr>
        <w:t>交货时间、地点及方式</w:t>
      </w:r>
    </w:p>
    <w:p>
      <w:pPr>
        <w:keepNext w:val="0"/>
        <w:keepLines w:val="0"/>
        <w:widowControl/>
        <w:suppressLineNumbers w:val="0"/>
        <w:spacing w:before="75" w:beforeAutospacing="0" w:line="420" w:lineRule="atLeast"/>
        <w:ind w:left="75" w:firstLine="3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1、交货时间：</w:t>
      </w:r>
      <w:r>
        <w:rPr>
          <w:rFonts w:hint="eastAsia" w:ascii="宋体" w:hAnsi="宋体" w:eastAsia="宋体" w:cs="宋体"/>
          <w:color w:val="auto"/>
          <w:sz w:val="21"/>
          <w:szCs w:val="21"/>
          <w:highlight w:val="none"/>
          <w:lang w:val="en-US" w:eastAsia="zh-CN"/>
        </w:rPr>
        <w:t>自合同签订之日起</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日内，完成全部货物交货、运输、安装、检测、验收，供采购人使用。</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2、交货地点：采购方指定地点；</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3、交货方式：按采购人要求送达指定地点安装调试完毕并验收合格。</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color w:val="auto"/>
          <w:sz w:val="21"/>
          <w:szCs w:val="21"/>
          <w:highlight w:val="none"/>
        </w:rPr>
      </w:pPr>
      <w:bookmarkStart w:id="1" w:name="_Toc32664"/>
      <w:bookmarkStart w:id="2" w:name="_Toc30496"/>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二</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产品运输、保管及保险</w:t>
      </w:r>
      <w:bookmarkEnd w:id="1"/>
      <w:bookmarkEnd w:id="2"/>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1、中标单位负责保证货物在没有任何损坏和腐蚀的情况下安全运抵合同规定的交货地点，应承担由于其包装或防护措施不妥而</w:t>
      </w:r>
      <w:r>
        <w:rPr>
          <w:rFonts w:hint="eastAsia" w:ascii="宋体" w:hAnsi="宋体" w:cs="宋体"/>
          <w:color w:val="auto"/>
          <w:sz w:val="21"/>
          <w:szCs w:val="21"/>
          <w:highlight w:val="none"/>
          <w:lang w:val="en-US" w:eastAsia="zh-CN"/>
        </w:rPr>
        <w:t>引</w:t>
      </w:r>
      <w:r>
        <w:rPr>
          <w:rFonts w:hint="eastAsia" w:ascii="宋体" w:hAnsi="宋体" w:eastAsia="宋体" w:cs="宋体"/>
          <w:color w:val="auto"/>
          <w:sz w:val="21"/>
          <w:szCs w:val="21"/>
          <w:highlight w:val="none"/>
        </w:rPr>
        <w:t>起货物锈蚀、损坏和丢失的任何责任或费用；</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2、中标单位应对提供的货物在运输、存放及交货过程中的毁损或丢失进行保险投保，负责其派出的安装指导、服务人员的人身意外保险；</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3、货物包装采用符合中国免疫标准的材料，适于长途运输，做到防潮、防雨、防锈、防震，包装箱上应用中文标出装运标记；</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default" w:eastAsia="宋体"/>
          <w:lang w:val="en-US" w:eastAsia="zh-CN"/>
        </w:rPr>
      </w:pPr>
      <w:r>
        <w:rPr>
          <w:rFonts w:hint="eastAsia" w:ascii="宋体" w:hAnsi="宋体" w:eastAsia="宋体" w:cs="宋体"/>
          <w:color w:val="auto"/>
          <w:sz w:val="21"/>
          <w:szCs w:val="21"/>
          <w:highlight w:val="none"/>
        </w:rPr>
        <w:t>4、每个包装箱的外部应附有一套详细的装箱单正本。每个包装箱的内部应附有装箱单、质量证明书，有关的技术文件，说明书，产品合格证等。</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color w:val="auto"/>
          <w:sz w:val="21"/>
          <w:szCs w:val="21"/>
          <w:highlight w:val="none"/>
        </w:rPr>
      </w:pPr>
      <w:bookmarkStart w:id="3" w:name="_Toc28153"/>
      <w:bookmarkStart w:id="4" w:name="_Toc29255"/>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三</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验收标准和方法</w:t>
      </w:r>
      <w:bookmarkEnd w:id="3"/>
      <w:bookmarkEnd w:id="4"/>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1、本项目</w:t>
      </w:r>
      <w:r>
        <w:rPr>
          <w:rFonts w:hint="eastAsia" w:ascii="宋体" w:hAnsi="宋体" w:eastAsia="宋体" w:cs="宋体"/>
          <w:color w:val="auto"/>
          <w:sz w:val="21"/>
          <w:szCs w:val="21"/>
          <w:highlight w:val="none"/>
          <w:lang w:val="en-US" w:eastAsia="zh-CN"/>
        </w:rPr>
        <w:t>由</w:t>
      </w:r>
      <w:r>
        <w:rPr>
          <w:rFonts w:hint="eastAsia" w:ascii="宋体" w:hAnsi="宋体" w:eastAsia="宋体" w:cs="宋体"/>
          <w:color w:val="auto"/>
          <w:sz w:val="21"/>
          <w:szCs w:val="21"/>
          <w:highlight w:val="none"/>
        </w:rPr>
        <w:t>采购单位验收，所有合同款项必须在验收合格后才能支付。</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2、中标单位负责产品安装完成后与相关部门协调验收工作，提供正式的货物验收、检测等相关报告、证明文件。相关一切费用均由投标方承担，验收报告作为申请付款的凭证之一；</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3、验收过程中产生纠纷的，由监督部门认定的检测机构检测,</w:t>
      </w:r>
      <w:r>
        <w:rPr>
          <w:rFonts w:hint="eastAsia" w:ascii="宋体" w:hAnsi="宋体" w:cs="宋体"/>
          <w:color w:val="auto"/>
          <w:sz w:val="21"/>
          <w:szCs w:val="21"/>
          <w:highlight w:val="none"/>
          <w:lang w:val="en-US" w:eastAsia="zh-CN"/>
        </w:rPr>
        <w:t>费用及相关责任由责任单位承担</w:t>
      </w:r>
      <w:r>
        <w:rPr>
          <w:rFonts w:hint="eastAsia" w:ascii="宋体" w:hAnsi="宋体" w:eastAsia="宋体" w:cs="宋体"/>
          <w:color w:val="auto"/>
          <w:sz w:val="21"/>
          <w:szCs w:val="21"/>
          <w:highlight w:val="none"/>
        </w:rPr>
        <w:t>；</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因中标单位原因导致项目验收不合格，由中标单位负责返工直至合格，有关返工、再行验收，以及给采购人造成的损失等费用由中标单位承担。连续两次项目验收不合格的，采购人可终止合同，另行按规定选择其他供应商采购，由此带来的一切损失由中标单位承担；</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bookmarkStart w:id="5" w:name="_Toc6773"/>
      <w:bookmarkStart w:id="6" w:name="_Toc3695"/>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四</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售后服务</w:t>
      </w:r>
      <w:bookmarkEnd w:id="5"/>
      <w:bookmarkEnd w:id="6"/>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1、质保期限：</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TW" w:eastAsia="zh-TW"/>
        </w:rPr>
        <w:t>年</w:t>
      </w:r>
      <w:r>
        <w:rPr>
          <w:rFonts w:hint="eastAsia" w:ascii="宋体" w:hAnsi="宋体" w:eastAsia="宋体" w:cs="宋体"/>
          <w:color w:val="auto"/>
          <w:sz w:val="21"/>
          <w:szCs w:val="21"/>
          <w:highlight w:val="none"/>
          <w:lang w:val="en-US" w:eastAsia="zh-CN"/>
        </w:rPr>
        <w:t>质保期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质保期从验收合格后开始计算，质保期内出现任何质量问题（人为破坏或自然灾害等不可抗力除外），由成交单位负责全免费（免全部工时费、材料费、管理费、财务费等等）更换或维修</w:t>
      </w:r>
      <w:r>
        <w:rPr>
          <w:rFonts w:hint="eastAsia" w:ascii="宋体" w:hAnsi="宋体" w:eastAsia="宋体" w:cs="宋体"/>
          <w:color w:val="auto"/>
          <w:sz w:val="21"/>
          <w:szCs w:val="21"/>
          <w:highlight w:val="none"/>
          <w:lang w:eastAsia="zh-CN"/>
        </w:rPr>
        <w:t>，</w:t>
      </w:r>
      <w:r>
        <w:rPr>
          <w:rFonts w:hint="eastAsia" w:ascii="宋体" w:hAnsi="宋体" w:eastAsia="宋体" w:cs="宋体"/>
          <w:bCs/>
          <w:kern w:val="2"/>
          <w:sz w:val="21"/>
          <w:szCs w:val="21"/>
          <w:lang w:val="en-US" w:eastAsia="zh-CN" w:bidi="ar-SA"/>
        </w:rPr>
        <w:t>期满后可同时提供终身维修保养服务，</w:t>
      </w:r>
      <w:r>
        <w:rPr>
          <w:rFonts w:hint="eastAsia" w:ascii="宋体" w:hAnsi="宋体" w:eastAsia="宋体" w:cs="宋体"/>
          <w:snapToGrid w:val="0"/>
          <w:color w:val="000000"/>
          <w:kern w:val="0"/>
          <w:sz w:val="21"/>
          <w:szCs w:val="21"/>
        </w:rPr>
        <w:t>维修只收取材料费</w:t>
      </w:r>
      <w:r>
        <w:rPr>
          <w:rFonts w:hint="eastAsia" w:ascii="宋体" w:hAnsi="宋体" w:eastAsia="宋体" w:cs="宋体"/>
          <w:snapToGrid w:val="0"/>
          <w:color w:val="000000"/>
          <w:kern w:val="0"/>
          <w:sz w:val="21"/>
          <w:szCs w:val="21"/>
          <w:lang w:eastAsia="zh-CN"/>
        </w:rPr>
        <w:t>，</w:t>
      </w:r>
      <w:r>
        <w:rPr>
          <w:rFonts w:hint="eastAsia" w:ascii="宋体" w:hAnsi="宋体" w:eastAsia="宋体" w:cs="宋体"/>
          <w:snapToGrid w:val="0"/>
          <w:color w:val="000000"/>
          <w:kern w:val="0"/>
          <w:sz w:val="21"/>
          <w:szCs w:val="21"/>
          <w:lang w:val="en-US" w:eastAsia="zh-CN"/>
        </w:rPr>
        <w:t>不收取工时费用。</w:t>
      </w:r>
      <w:r>
        <w:rPr>
          <w:rFonts w:hint="eastAsia" w:ascii="宋体" w:hAnsi="宋体" w:eastAsia="宋体" w:cs="宋体"/>
          <w:color w:val="auto"/>
          <w:sz w:val="21"/>
          <w:szCs w:val="21"/>
          <w:lang w:eastAsia="zh-CN"/>
        </w:rPr>
        <w:t>提供所有备品备件及零配件报价清单,并承诺质保期满后</w:t>
      </w:r>
      <w:r>
        <w:rPr>
          <w:rFonts w:hint="eastAsia" w:ascii="宋体" w:hAnsi="宋体" w:eastAsia="宋体" w:cs="宋体"/>
          <w:color w:val="auto"/>
          <w:sz w:val="21"/>
          <w:szCs w:val="21"/>
          <w:lang w:val="en-US" w:eastAsia="zh-CN"/>
        </w:rPr>
        <w:t>不高于</w:t>
      </w:r>
      <w:r>
        <w:rPr>
          <w:rFonts w:hint="eastAsia" w:ascii="宋体" w:hAnsi="宋体" w:eastAsia="宋体" w:cs="宋体"/>
          <w:color w:val="auto"/>
          <w:sz w:val="21"/>
          <w:szCs w:val="21"/>
          <w:lang w:eastAsia="zh-CN"/>
        </w:rPr>
        <w:t>此清单报价收取材料费。</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服务热线支持：</w:t>
      </w:r>
      <w:r>
        <w:rPr>
          <w:rFonts w:hint="eastAsia" w:ascii="宋体" w:hAnsi="宋体" w:eastAsia="宋体" w:cs="宋体"/>
          <w:color w:val="auto"/>
          <w:sz w:val="21"/>
          <w:szCs w:val="21"/>
          <w:highlight w:val="none"/>
          <w:lang w:val="en-US" w:eastAsia="zh-CN"/>
        </w:rPr>
        <w:t>提供7×24小时的免费咨询服务，由具备相关资质的专业工程师负责协助，在货物使用过程中，遇到任何应用、操作、技术、维护等问题时，都可通过供应商提供的热线电话进行咨询，供应商必须耐心地解答各类问题。</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现场技术支持：</w:t>
      </w:r>
      <w:r>
        <w:rPr>
          <w:rFonts w:hint="eastAsia" w:ascii="宋体" w:hAnsi="宋体" w:eastAsia="宋体" w:cs="宋体"/>
          <w:color w:val="auto"/>
          <w:sz w:val="21"/>
          <w:szCs w:val="21"/>
          <w:highlight w:val="none"/>
          <w:lang w:val="en-US" w:eastAsia="zh-CN"/>
        </w:rPr>
        <w:t>如发生故障，在接到采购人的邮件、信函或电话等通知后，要求供应商在2小时内响应，接到故障电话后（省内的2小时到达现场，省外的48小时内到达现场解决问题）。在免费质保期内均不再收取由此产生的任何费用。</w:t>
      </w:r>
    </w:p>
    <w:p>
      <w:pPr>
        <w:keepNext w:val="0"/>
        <w:keepLines w:val="0"/>
        <w:pageBreakBefore w:val="0"/>
        <w:kinsoku/>
        <w:wordWrap w:val="0"/>
        <w:overflowPunct w:val="0"/>
        <w:topLinePunct/>
        <w:autoSpaceDE/>
        <w:autoSpaceDN/>
        <w:bidi w:val="0"/>
        <w:adjustRightInd/>
        <w:snapToGrid/>
        <w:spacing w:line="360" w:lineRule="auto"/>
        <w:ind w:firstLine="420"/>
        <w:jc w:val="left"/>
        <w:textAlignment w:val="top"/>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供应商在收到故障通知后5天内没有弥补缺陷，采购人可自行采取必要的补救措施，由此产生的费用由供应商承担。</w:t>
      </w:r>
    </w:p>
    <w:p>
      <w:pPr>
        <w:pStyle w:val="10"/>
        <w:keepNext w:val="0"/>
        <w:keepLines w:val="0"/>
        <w:pageBreakBefore w:val="0"/>
        <w:widowControl w:val="0"/>
        <w:numPr>
          <w:ilvl w:val="0"/>
          <w:numId w:val="0"/>
        </w:numPr>
        <w:tabs>
          <w:tab w:val="left" w:pos="540"/>
        </w:tabs>
        <w:kinsoku/>
        <w:wordWrap/>
        <w:overflowPunct/>
        <w:topLinePunct w:val="0"/>
        <w:bidi w:val="0"/>
        <w:adjustRightInd/>
        <w:snapToGrid/>
        <w:spacing w:line="360" w:lineRule="auto"/>
        <w:textAlignment w:val="auto"/>
        <w:outlineLvl w:val="1"/>
        <w:rPr>
          <w:rFonts w:hint="eastAsia" w:ascii="宋体" w:hAnsi="宋体" w:eastAsia="宋体" w:cs="宋体"/>
          <w:b/>
          <w:bCs w:val="0"/>
          <w:kern w:val="2"/>
          <w:sz w:val="21"/>
          <w:szCs w:val="21"/>
          <w:lang w:val="en-US" w:eastAsia="zh-CN" w:bidi="ar-SA"/>
        </w:rPr>
      </w:pPr>
      <w:bookmarkStart w:id="7" w:name="_Toc17184"/>
      <w:r>
        <w:rPr>
          <w:rFonts w:hint="eastAsia" w:hAnsi="宋体" w:cs="宋体"/>
          <w:b/>
          <w:bCs w:val="0"/>
          <w:kern w:val="2"/>
          <w:sz w:val="21"/>
          <w:szCs w:val="21"/>
          <w:lang w:val="en-US" w:eastAsia="zh-CN" w:bidi="ar-SA"/>
        </w:rPr>
        <w:t>（</w:t>
      </w:r>
      <w:r>
        <w:rPr>
          <w:rFonts w:hint="eastAsia" w:ascii="宋体" w:hAnsi="宋体" w:eastAsia="宋体" w:cs="宋体"/>
          <w:b/>
          <w:bCs w:val="0"/>
          <w:kern w:val="2"/>
          <w:sz w:val="21"/>
          <w:szCs w:val="21"/>
          <w:lang w:val="en-US" w:eastAsia="zh-CN" w:bidi="ar-SA"/>
        </w:rPr>
        <w:t>五</w:t>
      </w:r>
      <w:r>
        <w:rPr>
          <w:rFonts w:hint="eastAsia" w:hAnsi="宋体" w:cs="宋体"/>
          <w:b/>
          <w:bCs w:val="0"/>
          <w:kern w:val="2"/>
          <w:sz w:val="21"/>
          <w:szCs w:val="21"/>
          <w:lang w:val="en-US" w:eastAsia="zh-CN" w:bidi="ar-SA"/>
        </w:rPr>
        <w:t>）</w:t>
      </w:r>
      <w:r>
        <w:rPr>
          <w:rFonts w:hint="eastAsia" w:ascii="宋体" w:hAnsi="宋体" w:eastAsia="宋体" w:cs="宋体"/>
          <w:b/>
          <w:bCs w:val="0"/>
          <w:kern w:val="2"/>
          <w:sz w:val="21"/>
          <w:szCs w:val="21"/>
          <w:lang w:val="en-US" w:eastAsia="zh-CN" w:bidi="ar-SA"/>
        </w:rPr>
        <w:t>安装与调试</w:t>
      </w:r>
      <w:bookmarkEnd w:id="7"/>
    </w:p>
    <w:p>
      <w:pPr>
        <w:keepNext w:val="0"/>
        <w:keepLines w:val="0"/>
        <w:pageBreakBefore w:val="0"/>
        <w:widowControl w:val="0"/>
        <w:numPr>
          <w:ilvl w:val="0"/>
          <w:numId w:val="0"/>
        </w:numPr>
        <w:tabs>
          <w:tab w:val="left" w:pos="567"/>
        </w:tabs>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1、供应商必须依照招标文件的要求和投标文件的承诺，将设备、系统安装并调试至正常运行的最佳状态。</w:t>
      </w:r>
    </w:p>
    <w:p>
      <w:pPr>
        <w:keepNext w:val="0"/>
        <w:keepLines w:val="0"/>
        <w:pageBreakBefore w:val="0"/>
        <w:widowControl w:val="0"/>
        <w:numPr>
          <w:ilvl w:val="0"/>
          <w:numId w:val="0"/>
        </w:numPr>
        <w:tabs>
          <w:tab w:val="left" w:pos="567"/>
        </w:tabs>
        <w:kinsoku/>
        <w:wordWrap/>
        <w:overflowPunct/>
        <w:topLinePunct w:val="0"/>
        <w:bidi w:val="0"/>
        <w:adjustRightInd/>
        <w:snapToGrid/>
        <w:spacing w:line="360" w:lineRule="auto"/>
        <w:ind w:left="0" w:leftChars="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2、合同设备安装</w:t>
      </w:r>
    </w:p>
    <w:p>
      <w:pPr>
        <w:keepNext w:val="0"/>
        <w:keepLines w:val="0"/>
        <w:pageBreakBefore w:val="0"/>
        <w:widowControl w:val="0"/>
        <w:numPr>
          <w:ilvl w:val="0"/>
          <w:numId w:val="0"/>
        </w:numPr>
        <w:kinsoku/>
        <w:wordWrap/>
        <w:overflowPunct/>
        <w:topLinePunct w:val="0"/>
        <w:bidi w:val="0"/>
        <w:adjustRightInd/>
        <w:snapToGrid/>
        <w:spacing w:line="360" w:lineRule="auto"/>
        <w:ind w:left="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2.1、供应商负责合同设备的安装，一切费用由供应商负责。</w:t>
      </w:r>
    </w:p>
    <w:p>
      <w:pPr>
        <w:keepNext w:val="0"/>
        <w:keepLines w:val="0"/>
        <w:pageBreakBefore w:val="0"/>
        <w:widowControl w:val="0"/>
        <w:numPr>
          <w:ilvl w:val="0"/>
          <w:numId w:val="0"/>
        </w:numPr>
        <w:kinsoku/>
        <w:wordWrap/>
        <w:overflowPunct/>
        <w:topLinePunct w:val="0"/>
        <w:bidi w:val="0"/>
        <w:adjustRightInd/>
        <w:snapToGrid/>
        <w:spacing w:line="360" w:lineRule="auto"/>
        <w:ind w:left="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2.2、供应商安装时须对各安装场地内的其他设备、设施有良好保护措施。</w:t>
      </w:r>
    </w:p>
    <w:p>
      <w:pPr>
        <w:keepNext w:val="0"/>
        <w:keepLines w:val="0"/>
        <w:pageBreakBefore w:val="0"/>
        <w:widowControl w:val="0"/>
        <w:numPr>
          <w:ilvl w:val="0"/>
          <w:numId w:val="0"/>
        </w:numPr>
        <w:kinsoku/>
        <w:wordWrap/>
        <w:overflowPunct/>
        <w:topLinePunct w:val="0"/>
        <w:bidi w:val="0"/>
        <w:adjustRightInd/>
        <w:snapToGrid/>
        <w:spacing w:line="360" w:lineRule="auto"/>
        <w:ind w:left="0" w:firstLine="420" w:firstLineChars="200"/>
        <w:textAlignment w:val="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2.3、</w:t>
      </w:r>
      <w:r>
        <w:rPr>
          <w:rFonts w:hint="eastAsia" w:ascii="宋体" w:hAnsi="宋体" w:eastAsia="宋体" w:cs="宋体"/>
          <w:bCs/>
          <w:kern w:val="2"/>
          <w:sz w:val="21"/>
          <w:szCs w:val="21"/>
          <w:lang w:val="zh-TW" w:eastAsia="zh-TW" w:bidi="ar-SA"/>
        </w:rPr>
        <w:t>仪器的安装、调试：由厂家专职工程师负责，到医院现场安装、调试</w:t>
      </w:r>
      <w:r>
        <w:rPr>
          <w:rFonts w:hint="eastAsia" w:ascii="宋体" w:hAnsi="宋体" w:eastAsia="宋体" w:cs="宋体"/>
          <w:bCs/>
          <w:kern w:val="2"/>
          <w:sz w:val="21"/>
          <w:szCs w:val="21"/>
          <w:lang w:val="en-US" w:eastAsia="zh-CN" w:bidi="ar-SA"/>
        </w:rPr>
        <w:t>。</w:t>
      </w:r>
    </w:p>
    <w:p>
      <w:pPr>
        <w:pStyle w:val="6"/>
        <w:rPr>
          <w:rFonts w:hint="eastAsia" w:ascii="宋体" w:hAnsi="宋体" w:eastAsia="宋体" w:cs="宋体"/>
          <w:sz w:val="21"/>
          <w:szCs w:val="21"/>
          <w:lang w:val="en-US" w:eastAsia="zh-CN"/>
        </w:rPr>
      </w:pPr>
      <w:r>
        <w:rPr>
          <w:rFonts w:hint="eastAsia" w:ascii="宋体" w:hAnsi="宋体" w:eastAsia="宋体" w:cs="宋体"/>
          <w:bCs/>
          <w:kern w:val="2"/>
          <w:sz w:val="21"/>
          <w:szCs w:val="21"/>
          <w:lang w:val="en-US" w:eastAsia="zh-CN" w:bidi="ar-SA"/>
        </w:rPr>
        <w:t xml:space="preserve">    2.4、</w:t>
      </w:r>
      <w:r>
        <w:rPr>
          <w:rFonts w:hint="eastAsia" w:ascii="宋体" w:hAnsi="宋体" w:eastAsia="宋体" w:cs="宋体"/>
          <w:snapToGrid w:val="0"/>
          <w:color w:val="000000"/>
          <w:kern w:val="0"/>
          <w:sz w:val="21"/>
          <w:szCs w:val="21"/>
          <w:lang w:val="en-US" w:eastAsia="zh-CN"/>
        </w:rPr>
        <w:t>产品的出场日期到安装日不能超过六个月。</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bookmarkStart w:id="8" w:name="_Toc15039"/>
      <w:bookmarkStart w:id="9" w:name="_Toc13739"/>
      <w:r>
        <w:rPr>
          <w:rFonts w:hint="eastAsia" w:ascii="宋体" w:hAnsi="宋体" w:cs="宋体"/>
          <w:b/>
          <w:bCs/>
          <w:color w:val="auto"/>
          <w:kern w:val="44"/>
          <w:sz w:val="21"/>
          <w:szCs w:val="21"/>
          <w:highlight w:val="none"/>
          <w:lang w:val="en-US" w:eastAsia="zh-CN"/>
        </w:rPr>
        <w:t>（</w:t>
      </w:r>
      <w:r>
        <w:rPr>
          <w:rFonts w:hint="eastAsia" w:ascii="宋体" w:hAnsi="宋体" w:eastAsia="宋体" w:cs="宋体"/>
          <w:b/>
          <w:bCs/>
          <w:color w:val="auto"/>
          <w:kern w:val="44"/>
          <w:sz w:val="21"/>
          <w:szCs w:val="21"/>
          <w:highlight w:val="none"/>
          <w:lang w:val="en-US" w:eastAsia="zh-CN"/>
        </w:rPr>
        <w:t>六</w:t>
      </w:r>
      <w:r>
        <w:rPr>
          <w:rFonts w:hint="eastAsia" w:ascii="宋体" w:hAnsi="宋体" w:cs="宋体"/>
          <w:b/>
          <w:bCs/>
          <w:color w:val="auto"/>
          <w:kern w:val="44"/>
          <w:sz w:val="21"/>
          <w:szCs w:val="21"/>
          <w:highlight w:val="none"/>
          <w:lang w:eastAsia="zh-CN"/>
        </w:rPr>
        <w:t>）</w:t>
      </w:r>
      <w:r>
        <w:rPr>
          <w:rFonts w:hint="eastAsia" w:ascii="宋体" w:hAnsi="宋体" w:eastAsia="宋体" w:cs="宋体"/>
          <w:b/>
          <w:bCs/>
          <w:color w:val="auto"/>
          <w:kern w:val="44"/>
          <w:sz w:val="21"/>
          <w:szCs w:val="21"/>
          <w:highlight w:val="none"/>
        </w:rPr>
        <w:t>培训要求</w:t>
      </w:r>
      <w:bookmarkEnd w:id="8"/>
      <w:bookmarkEnd w:id="9"/>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中标单位应对</w:t>
      </w:r>
      <w:r>
        <w:rPr>
          <w:rFonts w:hint="eastAsia" w:ascii="宋体" w:hAnsi="宋体" w:eastAsia="宋体" w:cs="宋体"/>
          <w:color w:val="auto"/>
          <w:sz w:val="21"/>
          <w:szCs w:val="21"/>
          <w:highlight w:val="none"/>
          <w:lang w:eastAsia="zh-CN"/>
        </w:rPr>
        <w:t>项目</w:t>
      </w:r>
      <w:r>
        <w:rPr>
          <w:rFonts w:hint="eastAsia" w:ascii="宋体" w:hAnsi="宋体" w:eastAsia="宋体" w:cs="宋体"/>
          <w:color w:val="auto"/>
          <w:sz w:val="21"/>
          <w:szCs w:val="21"/>
          <w:highlight w:val="none"/>
        </w:rPr>
        <w:t>的管理、维护和使用等提供相应的培训。具体培训要求包括：</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1、安装完成后对用户进行培训，要确保用户能熟练操作使用产品。培训所使用的语言和教材必须是中文；</w:t>
      </w:r>
    </w:p>
    <w:p>
      <w:pPr>
        <w:keepNext w:val="0"/>
        <w:keepLines w:val="0"/>
        <w:pageBreakBefore w:val="0"/>
        <w:kinsoku/>
        <w:wordWrap w:val="0"/>
        <w:overflowPunct w:val="0"/>
        <w:topLinePunct/>
        <w:autoSpaceDE/>
        <w:autoSpaceDN/>
        <w:bidi w:val="0"/>
        <w:adjustRightInd/>
        <w:snapToGrid/>
        <w:spacing w:line="360" w:lineRule="auto"/>
        <w:ind w:firstLine="420" w:firstLineChars="200"/>
        <w:jc w:val="left"/>
        <w:textAlignment w:val="top"/>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2、中标单位负责提供培训所需计划和资料（包括纸质文档和电子文档），招标人有权在系统内部使用这些培训资料。培训材料包括软件系统的功能说明书。</w:t>
      </w:r>
    </w:p>
    <w:p>
      <w:pPr>
        <w:adjustRightInd w:val="0"/>
        <w:snapToGrid w:val="0"/>
        <w:spacing w:line="440" w:lineRule="exact"/>
        <w:ind w:firstLine="420" w:firstLineChars="200"/>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3、投标单位必须承诺为业主方培训不少于2 名技术人员（</w:t>
      </w:r>
      <w:r>
        <w:rPr>
          <w:rFonts w:hint="eastAsia" w:ascii="宋体" w:hAnsi="宋体" w:eastAsia="宋体" w:cs="宋体"/>
          <w:sz w:val="21"/>
          <w:szCs w:val="21"/>
          <w:lang w:val="en-US" w:eastAsia="zh-CN"/>
        </w:rPr>
        <w:t>如业主方需要</w:t>
      </w:r>
      <w:r>
        <w:rPr>
          <w:rFonts w:hint="eastAsia" w:ascii="宋体" w:hAnsi="宋体" w:eastAsia="宋体" w:cs="宋体"/>
          <w:sz w:val="21"/>
          <w:szCs w:val="21"/>
          <w:lang w:val="zh-CN" w:eastAsia="zh-CN"/>
        </w:rPr>
        <w:t>），使其能处理简单的故障及日常维护使用。</w:t>
      </w:r>
    </w:p>
    <w:p>
      <w:pPr>
        <w:keepNext w:val="0"/>
        <w:keepLines w:val="0"/>
        <w:pageBreakBefore w:val="0"/>
        <w:widowControl/>
        <w:kinsoku/>
        <w:autoSpaceDE/>
        <w:autoSpaceDN/>
        <w:bidi w:val="0"/>
        <w:adjustRightInd/>
        <w:snapToGrid/>
        <w:spacing w:line="360" w:lineRule="auto"/>
        <w:jc w:val="left"/>
        <w:outlineLvl w:val="0"/>
        <w:rPr>
          <w:rFonts w:hint="eastAsia" w:ascii="宋体" w:hAnsi="宋体" w:eastAsia="宋体" w:cs="宋体"/>
          <w:b/>
          <w:bCs/>
          <w:color w:val="auto"/>
          <w:kern w:val="44"/>
          <w:sz w:val="21"/>
          <w:szCs w:val="21"/>
          <w:highlight w:val="none"/>
        </w:rPr>
      </w:pPr>
      <w:bookmarkStart w:id="10" w:name="_Toc30378"/>
      <w:bookmarkStart w:id="11" w:name="_Toc11126"/>
      <w:r>
        <w:rPr>
          <w:rFonts w:hint="eastAsia" w:ascii="宋体" w:hAnsi="宋体" w:cs="宋体"/>
          <w:b/>
          <w:bCs/>
          <w:color w:val="auto"/>
          <w:kern w:val="44"/>
          <w:sz w:val="21"/>
          <w:szCs w:val="21"/>
          <w:highlight w:val="none"/>
          <w:lang w:val="en-US" w:eastAsia="zh-CN"/>
        </w:rPr>
        <w:t>（七）</w:t>
      </w:r>
      <w:r>
        <w:rPr>
          <w:rFonts w:hint="eastAsia" w:ascii="宋体" w:hAnsi="宋体" w:eastAsia="宋体" w:cs="宋体"/>
          <w:b/>
          <w:bCs/>
          <w:color w:val="auto"/>
          <w:kern w:val="44"/>
          <w:sz w:val="21"/>
          <w:szCs w:val="21"/>
          <w:highlight w:val="none"/>
        </w:rPr>
        <w:t>付款方式(具体以合同为准)</w:t>
      </w:r>
      <w:bookmarkEnd w:id="10"/>
      <w:bookmarkEnd w:id="11"/>
    </w:p>
    <w:p>
      <w:pPr>
        <w:adjustRightInd w:val="0"/>
        <w:snapToGrid w:val="0"/>
        <w:spacing w:line="440" w:lineRule="exact"/>
        <w:ind w:firstLine="420" w:firstLineChars="200"/>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1、本项目不支付预付款；</w:t>
      </w:r>
    </w:p>
    <w:p>
      <w:pPr>
        <w:adjustRightInd w:val="0"/>
        <w:snapToGrid w:val="0"/>
        <w:spacing w:line="440" w:lineRule="exact"/>
        <w:ind w:firstLine="420" w:firstLineChars="200"/>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2、货到验收、安装、调试合格</w:t>
      </w:r>
      <w:r>
        <w:rPr>
          <w:rFonts w:hint="eastAsia" w:ascii="宋体" w:hAnsi="宋体" w:cs="宋体"/>
          <w:sz w:val="21"/>
          <w:szCs w:val="21"/>
          <w:lang w:val="en-US" w:eastAsia="zh-CN"/>
        </w:rPr>
        <w:t>后</w:t>
      </w:r>
      <w:r>
        <w:rPr>
          <w:rFonts w:hint="eastAsia" w:ascii="宋体" w:hAnsi="宋体" w:eastAsia="宋体" w:cs="宋体"/>
          <w:sz w:val="21"/>
          <w:szCs w:val="21"/>
          <w:lang w:val="zh-CN" w:eastAsia="zh-CN"/>
        </w:rPr>
        <w:t>一个月内</w:t>
      </w:r>
      <w:r>
        <w:rPr>
          <w:rFonts w:hint="eastAsia" w:ascii="宋体" w:hAnsi="宋体" w:eastAsia="宋体" w:cs="宋体"/>
          <w:sz w:val="21"/>
          <w:szCs w:val="21"/>
          <w:lang w:val="en-US" w:eastAsia="zh-CN"/>
        </w:rPr>
        <w:t>采购人在收到正式税务发票后</w:t>
      </w:r>
      <w:r>
        <w:rPr>
          <w:rFonts w:hint="eastAsia" w:ascii="宋体" w:hAnsi="宋体" w:cs="宋体"/>
          <w:sz w:val="21"/>
          <w:szCs w:val="21"/>
          <w:lang w:val="en-US" w:eastAsia="zh-CN"/>
        </w:rPr>
        <w:t>5年分期付清所有货款。</w:t>
      </w:r>
      <w:r>
        <w:rPr>
          <w:rFonts w:hint="eastAsia" w:ascii="宋体" w:hAnsi="宋体" w:eastAsia="宋体" w:cs="宋体"/>
          <w:sz w:val="21"/>
          <w:szCs w:val="21"/>
          <w:lang w:val="zh-CN" w:eastAsia="zh-CN"/>
        </w:rPr>
        <w:t>（具体已签订合同为准）</w:t>
      </w:r>
    </w:p>
    <w:p>
      <w:pPr>
        <w:adjustRightInd w:val="0"/>
        <w:snapToGrid w:val="0"/>
        <w:spacing w:line="44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3、付款凭正式税务发票，发票须由中标方开具。</w:t>
      </w:r>
    </w:p>
    <w:p>
      <w:pPr>
        <w:ind w:firstLine="211" w:firstLineChars="100"/>
        <w:rPr>
          <w:rFonts w:hint="eastAsia" w:ascii="宋体" w:hAnsi="宋体" w:eastAsia="宋体" w:cs="宋体"/>
          <w:b/>
          <w:bCs/>
          <w:color w:val="auto"/>
          <w:sz w:val="21"/>
          <w:szCs w:val="21"/>
          <w:highlight w:val="none"/>
          <w:lang w:val="en-US" w:eastAsia="zh-CN"/>
        </w:rPr>
      </w:pPr>
    </w:p>
    <w:p>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55450"/>
    <w:multiLevelType w:val="singleLevel"/>
    <w:tmpl w:val="77D5545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iMWQyMDJiMTE3M2QyZGM2NjZlMjRiMWM1Njc3NTYifQ=="/>
  </w:docVars>
  <w:rsids>
    <w:rsidRoot w:val="08E51C29"/>
    <w:rsid w:val="08E51C29"/>
    <w:rsid w:val="14C52A4A"/>
    <w:rsid w:val="19373A08"/>
    <w:rsid w:val="26CF2656"/>
    <w:rsid w:val="27246368"/>
    <w:rsid w:val="3D8A4BA3"/>
    <w:rsid w:val="45EF12D2"/>
    <w:rsid w:val="51786CDA"/>
    <w:rsid w:val="685A3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jc w:val="center"/>
      <w:outlineLvl w:val="0"/>
    </w:pPr>
    <w:rPr>
      <w:b/>
      <w:bCs/>
      <w:sz w:val="24"/>
      <w:szCs w:val="20"/>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widowControl/>
      <w:ind w:firstLine="420"/>
      <w:jc w:val="left"/>
    </w:pPr>
    <w:rPr>
      <w:kern w:val="0"/>
      <w:sz w:val="20"/>
      <w:szCs w:val="20"/>
    </w:rPr>
  </w:style>
  <w:style w:type="paragraph" w:customStyle="1" w:styleId="4">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5">
    <w:name w:val="annotation text"/>
    <w:basedOn w:val="1"/>
    <w:autoRedefine/>
    <w:semiHidden/>
    <w:qFormat/>
    <w:uiPriority w:val="0"/>
    <w:pPr>
      <w:jc w:val="left"/>
    </w:pPr>
  </w:style>
  <w:style w:type="paragraph" w:styleId="6">
    <w:name w:val="Body Text"/>
    <w:basedOn w:val="1"/>
    <w:next w:val="7"/>
    <w:autoRedefine/>
    <w:qFormat/>
    <w:uiPriority w:val="0"/>
    <w:pPr>
      <w:spacing w:after="120"/>
    </w:pPr>
    <w:rPr>
      <w:lang w:val="zh-CN"/>
    </w:rPr>
  </w:style>
  <w:style w:type="paragraph" w:styleId="7">
    <w:name w:val="Body Text First Indent"/>
    <w:basedOn w:val="6"/>
    <w:next w:val="1"/>
    <w:autoRedefine/>
    <w:unhideWhenUsed/>
    <w:qFormat/>
    <w:uiPriority w:val="99"/>
    <w:pPr>
      <w:ind w:firstLine="420" w:firstLineChars="100"/>
    </w:pPr>
  </w:style>
  <w:style w:type="paragraph" w:styleId="8">
    <w:name w:val="Body Text Indent"/>
    <w:basedOn w:val="1"/>
    <w:next w:val="9"/>
    <w:autoRedefine/>
    <w:qFormat/>
    <w:uiPriority w:val="0"/>
    <w:pPr>
      <w:spacing w:after="120"/>
      <w:ind w:left="420" w:leftChars="200"/>
    </w:pPr>
  </w:style>
  <w:style w:type="paragraph" w:styleId="9">
    <w:name w:val="Body Text First Indent 2"/>
    <w:basedOn w:val="8"/>
    <w:next w:val="3"/>
    <w:autoRedefine/>
    <w:qFormat/>
    <w:uiPriority w:val="0"/>
    <w:pPr>
      <w:ind w:firstLine="420" w:firstLineChars="200"/>
    </w:pPr>
  </w:style>
  <w:style w:type="paragraph" w:styleId="10">
    <w:name w:val="Plain Text"/>
    <w:basedOn w:val="1"/>
    <w:next w:val="1"/>
    <w:autoRedefine/>
    <w:qFormat/>
    <w:uiPriority w:val="0"/>
    <w:rPr>
      <w:rFonts w:ascii="宋体" w:hAnsi="Courier New" w:cs="Courier New"/>
      <w:szCs w:val="21"/>
    </w:rPr>
  </w:style>
  <w:style w:type="paragraph" w:styleId="11">
    <w:name w:val="Body Text 2"/>
    <w:basedOn w:val="1"/>
    <w:autoRedefine/>
    <w:qFormat/>
    <w:uiPriority w:val="0"/>
    <w:pPr>
      <w:spacing w:after="120" w:line="480" w:lineRule="auto"/>
    </w:pPr>
    <w:rPr>
      <w:lang w:val="zh-CN"/>
    </w:rPr>
  </w:style>
  <w:style w:type="table" w:styleId="13">
    <w:name w:val="Table Grid"/>
    <w:basedOn w:val="12"/>
    <w:autoRedefine/>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列出段落1"/>
    <w:basedOn w:val="1"/>
    <w:autoRedefine/>
    <w:qFormat/>
    <w:uiPriority w:val="0"/>
    <w:pPr>
      <w:ind w:firstLine="420" w:firstLineChars="200"/>
    </w:pPr>
    <w:rPr>
      <w:rFonts w:ascii="Calibri" w:hAnsi="Calibri"/>
      <w:szCs w:val="22"/>
    </w:rPr>
  </w:style>
  <w:style w:type="paragraph" w:customStyle="1" w:styleId="16">
    <w:name w:val="List Paragraph_c5745efb-b79d-4adc-a305-6685f047f37d"/>
    <w:basedOn w:val="1"/>
    <w:autoRedefine/>
    <w:qFormat/>
    <w:uiPriority w:val="34"/>
    <w:pPr>
      <w:ind w:firstLine="420" w:firstLineChars="200"/>
    </w:pPr>
  </w:style>
  <w:style w:type="paragraph" w:customStyle="1" w:styleId="17">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8">
    <w:name w:val="null10"/>
    <w:autoRedefine/>
    <w:qFormat/>
    <w:uiPriority w:val="0"/>
    <w:rPr>
      <w:rFonts w:hint="eastAsia" w:ascii="Times New Roman"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3302</Words>
  <Characters>3540</Characters>
  <Lines>0</Lines>
  <Paragraphs>0</Paragraphs>
  <TotalTime>7</TotalTime>
  <ScaleCrop>false</ScaleCrop>
  <LinksUpToDate>false</LinksUpToDate>
  <CharactersWithSpaces>3552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2023-09-20T05:46:00Z</dcterms:created>
  <dc:creator>Administrator</dc:creator>
  <cp:lastModifiedBy>小燕子</cp:lastModifiedBy>
  <dcterms:modified xsi:type="dcterms:W3CDTF">2024-05-28T08:57:45Z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6EFED572FCC54D48A231690B974DD60A_13</vt:lpwstr>
  </property>
</Properties>
</file>