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line="360" w:lineRule="auto"/>
        <w:jc w:val="center"/>
        <w:rPr>
          <w:rFonts w:ascii="黑体" w:hAnsi="黑体" w:eastAsia="黑体"/>
          <w:sz w:val="32"/>
          <w:szCs w:val="32"/>
        </w:rPr>
      </w:pPr>
      <w:bookmarkStart w:id="0" w:name="_Toc9061"/>
      <w:r>
        <w:rPr>
          <w:rFonts w:hint="eastAsia" w:ascii="黑体" w:hAnsi="黑体" w:eastAsia="黑体"/>
          <w:sz w:val="32"/>
          <w:szCs w:val="32"/>
        </w:rPr>
        <w:t>采购需求</w:t>
      </w:r>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一、项目</w:t>
      </w:r>
      <w:r>
        <w:rPr>
          <w:rFonts w:hint="eastAsia" w:ascii="宋体" w:hAnsi="宋体" w:cs="宋体"/>
          <w:b/>
          <w:color w:val="auto"/>
          <w:szCs w:val="21"/>
          <w:highlight w:val="none"/>
          <w:lang w:val="en-US" w:eastAsia="zh-CN"/>
        </w:rPr>
        <w:t>基本情况</w:t>
      </w:r>
      <w:r>
        <w:rPr>
          <w:rFonts w:hint="eastAsia" w:ascii="宋体" w:hAnsi="宋体" w:eastAsia="宋体" w:cs="宋体"/>
          <w:b/>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1、项目</w:t>
      </w:r>
      <w:r>
        <w:rPr>
          <w:rFonts w:hint="eastAsia" w:ascii="宋体" w:hAnsi="宋体" w:eastAsia="宋体" w:cs="宋体"/>
          <w:color w:val="auto"/>
          <w:sz w:val="21"/>
          <w:szCs w:val="21"/>
          <w:highlight w:val="none"/>
          <w:lang w:val="en-US" w:eastAsia="zh-CN"/>
        </w:rPr>
        <w:t>名称：株洲市渌口区中医医院二氧化碳激光治疗机采购</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项目</w:t>
      </w:r>
      <w:r>
        <w:rPr>
          <w:rFonts w:hint="eastAsia" w:ascii="宋体" w:hAnsi="宋体" w:eastAsia="宋体" w:cs="宋体"/>
          <w:color w:val="auto"/>
          <w:sz w:val="21"/>
          <w:szCs w:val="21"/>
          <w:highlight w:val="none"/>
          <w:lang w:val="en-US" w:eastAsia="zh-CN"/>
        </w:rPr>
        <w:t>地点：</w:t>
      </w:r>
      <w:r>
        <w:rPr>
          <w:rFonts w:hint="eastAsia" w:ascii="宋体" w:hAnsi="宋体" w:eastAsia="宋体" w:cs="宋体"/>
          <w:sz w:val="21"/>
          <w:szCs w:val="21"/>
          <w:lang w:val="en-US" w:eastAsia="zh-CN"/>
        </w:rPr>
        <w:t>株洲市渌口区中医医院</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3、采购预算：</w:t>
      </w:r>
      <w:r>
        <w:rPr>
          <w:rFonts w:hint="eastAsia" w:ascii="宋体" w:hAnsi="宋体" w:cs="宋体"/>
          <w:color w:val="auto"/>
          <w:sz w:val="21"/>
          <w:szCs w:val="21"/>
          <w:highlight w:val="none"/>
          <w:lang w:val="en-US" w:eastAsia="zh-CN"/>
        </w:rPr>
        <w:t>20</w:t>
      </w:r>
      <w:r>
        <w:rPr>
          <w:rFonts w:hint="eastAsia" w:ascii="宋体" w:hAnsi="宋体" w:eastAsia="宋体" w:cs="宋体"/>
          <w:color w:val="auto"/>
          <w:sz w:val="21"/>
          <w:szCs w:val="21"/>
          <w:highlight w:val="none"/>
          <w:lang w:val="en-US" w:eastAsia="zh-CN"/>
        </w:rPr>
        <w:t>0000元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、采购数量：1</w:t>
      </w:r>
      <w:r>
        <w:rPr>
          <w:rFonts w:hint="eastAsia" w:ascii="宋体" w:hAnsi="宋体" w:cs="宋体"/>
          <w:color w:val="auto"/>
          <w:sz w:val="21"/>
          <w:szCs w:val="21"/>
          <w:highlight w:val="none"/>
          <w:lang w:val="en-US" w:eastAsia="zh-CN"/>
        </w:rPr>
        <w:t>台</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二、技术参数要求</w:t>
      </w:r>
    </w:p>
    <w:p>
      <w:pPr>
        <w:jc w:val="center"/>
        <w:rPr>
          <w:rFonts w:hint="eastAsia" w:ascii="Arial" w:hAnsi="Arial" w:cs="Arial"/>
          <w:szCs w:val="21"/>
        </w:rPr>
      </w:pPr>
      <w:r>
        <w:rPr>
          <w:rFonts w:hint="eastAsia" w:ascii="宋体" w:hAnsi="宋体" w:eastAsia="宋体" w:cs="宋体"/>
          <w:b/>
          <w:bCs/>
          <w:color w:val="000000"/>
          <w:sz w:val="28"/>
          <w:szCs w:val="28"/>
          <w:lang w:val="en-US" w:eastAsia="zh-CN"/>
        </w:rPr>
        <w:t>二氧化碳激光治疗机</w:t>
      </w:r>
      <w:r>
        <w:rPr>
          <w:rFonts w:hint="eastAsia" w:ascii="宋体" w:hAnsi="宋体" w:eastAsia="宋体" w:cs="宋体"/>
          <w:b/>
          <w:bCs/>
          <w:color w:val="000000"/>
          <w:sz w:val="28"/>
          <w:szCs w:val="28"/>
          <w:lang w:val="en-US" w:eastAsia="zh-CN"/>
        </w:rPr>
        <w:t>主要技术参数</w:t>
      </w:r>
    </w:p>
    <w:p>
      <w:pPr>
        <w:spacing w:line="36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eastAsia="zh-CN"/>
        </w:rPr>
        <w:t>、</w:t>
      </w:r>
      <w:r>
        <w:rPr>
          <w:rFonts w:hint="eastAsia" w:ascii="宋体" w:hAnsi="宋体" w:eastAsia="宋体" w:cs="宋体"/>
          <w:sz w:val="21"/>
          <w:szCs w:val="21"/>
        </w:rPr>
        <w:t>激光器类型：封离式直流激励二氧化碳激光器（TEM00）；</w:t>
      </w:r>
    </w:p>
    <w:p>
      <w:pPr>
        <w:spacing w:line="360" w:lineRule="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eastAsia="zh-CN"/>
        </w:rPr>
        <w:t>、</w:t>
      </w:r>
      <w:r>
        <w:rPr>
          <w:rFonts w:hint="eastAsia" w:ascii="宋体" w:hAnsi="宋体" w:eastAsia="宋体" w:cs="宋体"/>
          <w:sz w:val="21"/>
          <w:szCs w:val="21"/>
        </w:rPr>
        <w:t>激光波长：10600nm；</w:t>
      </w:r>
    </w:p>
    <w:p>
      <w:pPr>
        <w:spacing w:line="360" w:lineRule="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cs="宋体"/>
          <w:sz w:val="21"/>
          <w:szCs w:val="21"/>
          <w:lang w:eastAsia="zh-CN"/>
        </w:rPr>
        <w:t>、</w:t>
      </w:r>
      <w:r>
        <w:rPr>
          <w:rFonts w:hint="eastAsia" w:ascii="宋体" w:hAnsi="宋体" w:eastAsia="宋体" w:cs="宋体"/>
          <w:sz w:val="21"/>
          <w:szCs w:val="21"/>
        </w:rPr>
        <w:t>光斑直径：</w:t>
      </w:r>
      <w:r>
        <w:rPr>
          <w:rFonts w:hint="eastAsia" w:ascii="宋体" w:hAnsi="宋体" w:eastAsia="宋体" w:cs="宋体"/>
          <w:sz w:val="21"/>
          <w:szCs w:val="21"/>
          <w:lang w:eastAsia="zh-CN"/>
        </w:rPr>
        <w:t>≤</w:t>
      </w:r>
      <w:r>
        <w:rPr>
          <w:rFonts w:hint="eastAsia" w:ascii="宋体" w:hAnsi="宋体" w:eastAsia="宋体" w:cs="宋体"/>
          <w:sz w:val="21"/>
          <w:szCs w:val="21"/>
        </w:rPr>
        <w:t>0.</w:t>
      </w:r>
      <w:r>
        <w:rPr>
          <w:rFonts w:hint="eastAsia" w:ascii="宋体" w:hAnsi="宋体" w:eastAsia="宋体" w:cs="宋体"/>
          <w:sz w:val="21"/>
          <w:szCs w:val="21"/>
          <w:lang w:val="en-US" w:eastAsia="zh-CN"/>
        </w:rPr>
        <w:t>5</w:t>
      </w:r>
      <w:r>
        <w:rPr>
          <w:rFonts w:hint="eastAsia" w:ascii="宋体" w:hAnsi="宋体" w:eastAsia="宋体" w:cs="宋体"/>
          <w:sz w:val="21"/>
          <w:szCs w:val="21"/>
        </w:rPr>
        <w:t>mm</w:t>
      </w:r>
    </w:p>
    <w:p>
      <w:pPr>
        <w:spacing w:line="360" w:lineRule="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cs="宋体"/>
          <w:sz w:val="21"/>
          <w:szCs w:val="21"/>
          <w:lang w:eastAsia="zh-CN"/>
        </w:rPr>
        <w:t>、</w:t>
      </w:r>
      <w:r>
        <w:rPr>
          <w:rFonts w:hint="eastAsia" w:ascii="宋体" w:hAnsi="宋体" w:eastAsia="宋体" w:cs="宋体"/>
          <w:sz w:val="21"/>
          <w:szCs w:val="21"/>
        </w:rPr>
        <w:t>▲最小脉冲宽度：0.1ms;</w:t>
      </w:r>
    </w:p>
    <w:p>
      <w:pPr>
        <w:spacing w:line="360" w:lineRule="auto"/>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cs="宋体"/>
          <w:sz w:val="21"/>
          <w:szCs w:val="21"/>
          <w:lang w:eastAsia="zh-CN"/>
        </w:rPr>
        <w:t>、</w:t>
      </w:r>
      <w:r>
        <w:rPr>
          <w:rFonts w:hint="eastAsia" w:ascii="宋体" w:hAnsi="宋体" w:eastAsia="宋体" w:cs="宋体"/>
          <w:sz w:val="21"/>
          <w:szCs w:val="21"/>
        </w:rPr>
        <w:t>传输方式：</w:t>
      </w:r>
      <w:r>
        <w:rPr>
          <w:rFonts w:hint="eastAsia" w:ascii="宋体" w:hAnsi="宋体" w:eastAsia="宋体" w:cs="宋体"/>
          <w:sz w:val="21"/>
          <w:szCs w:val="21"/>
          <w:lang w:eastAsia="zh-CN"/>
        </w:rPr>
        <w:t>≥</w:t>
      </w:r>
      <w:r>
        <w:rPr>
          <w:rFonts w:hint="eastAsia" w:ascii="宋体" w:hAnsi="宋体" w:eastAsia="宋体" w:cs="宋体"/>
          <w:sz w:val="21"/>
          <w:szCs w:val="21"/>
        </w:rPr>
        <w:t xml:space="preserve">7关节平衡锤式导光臂，配光学图形扫描器，微型扫描头,垂直向下的出光方式,重量不大于140g； </w:t>
      </w:r>
    </w:p>
    <w:p>
      <w:pPr>
        <w:spacing w:line="360" w:lineRule="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cs="宋体"/>
          <w:sz w:val="21"/>
          <w:szCs w:val="21"/>
          <w:lang w:eastAsia="zh-CN"/>
        </w:rPr>
        <w:t>、</w:t>
      </w:r>
      <w:r>
        <w:rPr>
          <w:rFonts w:hint="eastAsia" w:ascii="宋体" w:hAnsi="宋体" w:eastAsia="宋体" w:cs="宋体"/>
          <w:sz w:val="21"/>
          <w:szCs w:val="21"/>
        </w:rPr>
        <w:t>▲输出功率：治疗模式：连续、单脉冲、重复脉冲功率：0.3W～25W可调；</w:t>
      </w:r>
    </w:p>
    <w:p>
      <w:pPr>
        <w:spacing w:line="360" w:lineRule="auto"/>
        <w:ind w:firstLine="1680" w:firstLineChars="800"/>
        <w:rPr>
          <w:rFonts w:hint="eastAsia" w:ascii="宋体" w:hAnsi="宋体" w:eastAsia="宋体" w:cs="宋体"/>
          <w:sz w:val="21"/>
          <w:szCs w:val="21"/>
        </w:rPr>
      </w:pPr>
      <w:r>
        <w:rPr>
          <w:rFonts w:hint="eastAsia" w:ascii="宋体" w:hAnsi="宋体" w:eastAsia="宋体" w:cs="宋体"/>
          <w:sz w:val="21"/>
          <w:szCs w:val="21"/>
        </w:rPr>
        <w:t>调制脉冲：0.3～15W可调；脉冲频率：1000Hz</w:t>
      </w:r>
    </w:p>
    <w:p>
      <w:pPr>
        <w:spacing w:line="360" w:lineRule="auto"/>
        <w:rPr>
          <w:rFonts w:hint="eastAsia" w:ascii="宋体" w:hAnsi="宋体" w:eastAsia="宋体" w:cs="宋体"/>
          <w:sz w:val="21"/>
          <w:szCs w:val="21"/>
        </w:rPr>
      </w:pP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点阵扫描模式：10mJ～160mJ可调，以10mJ步进；</w:t>
      </w:r>
    </w:p>
    <w:p>
      <w:pPr>
        <w:spacing w:line="360" w:lineRule="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cs="宋体"/>
          <w:sz w:val="21"/>
          <w:szCs w:val="21"/>
          <w:lang w:eastAsia="zh-CN"/>
        </w:rPr>
        <w:t>、</w:t>
      </w:r>
      <w:r>
        <w:rPr>
          <w:rFonts w:hint="eastAsia" w:ascii="宋体" w:hAnsi="宋体" w:eastAsia="宋体" w:cs="宋体"/>
          <w:sz w:val="21"/>
          <w:szCs w:val="21"/>
        </w:rPr>
        <w:t>▲扫描图形：正方形、长方形、圆形、椭圆形、三角形、环形、直线形、弓形、弧形(图形大小、间距、扫描程度可调</w:t>
      </w:r>
      <w:r>
        <w:rPr>
          <w:rFonts w:hint="eastAsia" w:ascii="宋体" w:hAnsi="宋体" w:eastAsia="宋体" w:cs="宋体"/>
          <w:sz w:val="21"/>
          <w:szCs w:val="21"/>
          <w:lang w:eastAsia="zh-CN"/>
        </w:rPr>
        <w:t>、覆盖率微调</w:t>
      </w:r>
      <w:r>
        <w:rPr>
          <w:rFonts w:hint="eastAsia" w:ascii="宋体" w:hAnsi="宋体" w:eastAsia="宋体" w:cs="宋体"/>
          <w:sz w:val="21"/>
          <w:szCs w:val="21"/>
        </w:rPr>
        <w:t>)。</w:t>
      </w:r>
    </w:p>
    <w:p>
      <w:pPr>
        <w:spacing w:line="360" w:lineRule="auto"/>
        <w:rPr>
          <w:rFonts w:hint="eastAsia" w:ascii="宋体" w:hAnsi="宋体" w:eastAsia="宋体" w:cs="宋体"/>
          <w:sz w:val="21"/>
          <w:szCs w:val="21"/>
        </w:rPr>
      </w:pPr>
      <w:r>
        <w:rPr>
          <w:rFonts w:hint="eastAsia" w:ascii="宋体" w:hAnsi="宋体" w:eastAsia="宋体" w:cs="宋体"/>
          <w:sz w:val="21"/>
          <w:szCs w:val="21"/>
        </w:rPr>
        <w:t>光学图形扫描器及临床功能已获国家食品药品监督管理局注册审批。</w:t>
      </w:r>
    </w:p>
    <w:p>
      <w:pPr>
        <w:spacing w:line="360" w:lineRule="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cs="宋体"/>
          <w:sz w:val="21"/>
          <w:szCs w:val="21"/>
          <w:lang w:eastAsia="zh-CN"/>
        </w:rPr>
        <w:t>、</w:t>
      </w:r>
      <w:r>
        <w:rPr>
          <w:rFonts w:hint="eastAsia" w:ascii="宋体" w:hAnsi="宋体" w:eastAsia="宋体" w:cs="宋体"/>
          <w:sz w:val="21"/>
          <w:szCs w:val="21"/>
        </w:rPr>
        <w:t>扫描方式：离散、有序、隔点加重及重复次数可选。</w:t>
      </w:r>
    </w:p>
    <w:p>
      <w:pPr>
        <w:spacing w:line="360" w:lineRule="auto"/>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cs="宋体"/>
          <w:sz w:val="21"/>
          <w:szCs w:val="21"/>
          <w:lang w:eastAsia="zh-CN"/>
        </w:rPr>
        <w:t>、</w:t>
      </w:r>
      <w:r>
        <w:rPr>
          <w:rFonts w:hint="eastAsia" w:ascii="宋体" w:hAnsi="宋体" w:eastAsia="宋体" w:cs="宋体"/>
          <w:sz w:val="21"/>
          <w:szCs w:val="21"/>
        </w:rPr>
        <w:t>手具焦距：F=100mm，F=50mm，配有1#-5#点阵扫描及超脉冲治疗、切割通用手具（切割手具中具有直径为5mm全剥脱功能手具）</w:t>
      </w:r>
    </w:p>
    <w:p>
      <w:pPr>
        <w:spacing w:line="360" w:lineRule="auto"/>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cs="宋体"/>
          <w:sz w:val="21"/>
          <w:szCs w:val="21"/>
          <w:lang w:eastAsia="zh-CN"/>
        </w:rPr>
        <w:t>、</w:t>
      </w:r>
      <w:r>
        <w:rPr>
          <w:rFonts w:hint="eastAsia" w:ascii="宋体" w:hAnsi="宋体" w:eastAsia="宋体" w:cs="宋体"/>
          <w:sz w:val="21"/>
          <w:szCs w:val="21"/>
        </w:rPr>
        <w:t>图形尺寸：1～20mm，1～</w:t>
      </w:r>
      <w:r>
        <w:rPr>
          <w:rFonts w:hint="eastAsia" w:ascii="宋体" w:hAnsi="宋体" w:eastAsia="宋体" w:cs="宋体"/>
          <w:sz w:val="21"/>
          <w:szCs w:val="21"/>
          <w:lang w:val="en-US" w:eastAsia="zh-CN"/>
        </w:rPr>
        <w:t>2</w:t>
      </w:r>
      <w:r>
        <w:rPr>
          <w:rFonts w:hint="eastAsia" w:ascii="宋体" w:hAnsi="宋体" w:eastAsia="宋体" w:cs="宋体"/>
          <w:sz w:val="21"/>
          <w:szCs w:val="21"/>
        </w:rPr>
        <w:t>0mm，X轴、Y轴可调；</w:t>
      </w:r>
    </w:p>
    <w:p>
      <w:pPr>
        <w:spacing w:line="360" w:lineRule="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cs="宋体"/>
          <w:sz w:val="21"/>
          <w:szCs w:val="21"/>
          <w:lang w:eastAsia="zh-CN"/>
        </w:rPr>
        <w:t>、</w:t>
      </w:r>
      <w:r>
        <w:rPr>
          <w:rFonts w:hint="eastAsia" w:ascii="宋体" w:hAnsi="宋体" w:eastAsia="宋体" w:cs="宋体"/>
          <w:sz w:val="21"/>
          <w:szCs w:val="21"/>
        </w:rPr>
        <w:t>扫描密度：F=50mm,0～1.5mm可调；</w:t>
      </w:r>
    </w:p>
    <w:p>
      <w:pPr>
        <w:spacing w:line="360" w:lineRule="auto"/>
        <w:ind w:firstLine="1470" w:firstLineChars="700"/>
        <w:rPr>
          <w:rFonts w:hint="eastAsia" w:ascii="宋体" w:hAnsi="宋体" w:eastAsia="宋体" w:cs="宋体"/>
          <w:sz w:val="21"/>
          <w:szCs w:val="21"/>
        </w:rPr>
      </w:pPr>
      <w:r>
        <w:rPr>
          <w:rFonts w:hint="eastAsia" w:ascii="宋体" w:hAnsi="宋体" w:eastAsia="宋体" w:cs="宋体"/>
          <w:sz w:val="21"/>
          <w:szCs w:val="21"/>
        </w:rPr>
        <w:t>F=100mm，0～3.0mm可调；</w:t>
      </w:r>
    </w:p>
    <w:p>
      <w:pPr>
        <w:spacing w:line="360" w:lineRule="auto"/>
        <w:rPr>
          <w:rFonts w:hint="eastAsia" w:ascii="宋体" w:hAnsi="宋体" w:eastAsia="宋体" w:cs="宋体"/>
          <w:sz w:val="21"/>
          <w:szCs w:val="21"/>
        </w:rPr>
      </w:pPr>
      <w:r>
        <w:rPr>
          <w:rFonts w:hint="eastAsia" w:ascii="宋体" w:hAnsi="宋体" w:eastAsia="宋体" w:cs="宋体"/>
          <w:sz w:val="21"/>
          <w:szCs w:val="21"/>
        </w:rPr>
        <w:t>12</w:t>
      </w:r>
      <w:r>
        <w:rPr>
          <w:rFonts w:hint="eastAsia" w:ascii="宋体" w:hAnsi="宋体" w:cs="宋体"/>
          <w:sz w:val="21"/>
          <w:szCs w:val="21"/>
          <w:lang w:eastAsia="zh-CN"/>
        </w:rPr>
        <w:t>、</w:t>
      </w:r>
      <w:r>
        <w:rPr>
          <w:rFonts w:hint="eastAsia" w:ascii="宋体" w:hAnsi="宋体" w:eastAsia="宋体" w:cs="宋体"/>
          <w:sz w:val="21"/>
          <w:szCs w:val="21"/>
        </w:rPr>
        <w:t>瞄准光系统：650nm</w:t>
      </w:r>
      <w:r>
        <w:rPr>
          <w:rFonts w:hint="eastAsia" w:ascii="宋体" w:hAnsi="宋体" w:eastAsia="宋体" w:cs="宋体"/>
          <w:sz w:val="21"/>
          <w:szCs w:val="21"/>
          <w:lang w:val="en-US" w:eastAsia="zh-CN"/>
        </w:rPr>
        <w:t>±5nm</w:t>
      </w:r>
      <w:r>
        <w:rPr>
          <w:rFonts w:hint="eastAsia" w:ascii="宋体" w:hAnsi="宋体" w:eastAsia="宋体" w:cs="宋体"/>
          <w:sz w:val="21"/>
          <w:szCs w:val="21"/>
        </w:rPr>
        <w:t>波长红色半导体指示光，亮度强弱多档可调。</w:t>
      </w:r>
    </w:p>
    <w:p>
      <w:pPr>
        <w:spacing w:line="360" w:lineRule="auto"/>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cs="宋体"/>
          <w:sz w:val="21"/>
          <w:szCs w:val="21"/>
          <w:lang w:eastAsia="zh-CN"/>
        </w:rPr>
        <w:t>、</w:t>
      </w:r>
      <w:r>
        <w:rPr>
          <w:rFonts w:hint="eastAsia" w:ascii="宋体" w:hAnsi="宋体" w:eastAsia="宋体" w:cs="宋体"/>
          <w:sz w:val="21"/>
          <w:szCs w:val="21"/>
        </w:rPr>
        <w:t>冷却方式：封闭式内循环水冷却，外循环强风冷却。</w:t>
      </w:r>
    </w:p>
    <w:p>
      <w:pPr>
        <w:spacing w:line="360" w:lineRule="auto"/>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cs="宋体"/>
          <w:sz w:val="21"/>
          <w:szCs w:val="21"/>
          <w:lang w:eastAsia="zh-CN"/>
        </w:rPr>
        <w:t>、</w:t>
      </w:r>
      <w:r>
        <w:rPr>
          <w:rFonts w:hint="eastAsia" w:ascii="宋体" w:hAnsi="宋体" w:eastAsia="宋体" w:cs="宋体"/>
          <w:sz w:val="21"/>
          <w:szCs w:val="21"/>
        </w:rPr>
        <w:t>控制系统：彩色触摸屏 （中英文界面），软件具有参数修正功能及升级接口、设备存储记忆、故障语言显示、声音提示、密码设置</w:t>
      </w:r>
      <w:r>
        <w:rPr>
          <w:rFonts w:hint="eastAsia" w:ascii="宋体" w:hAnsi="宋体" w:eastAsia="宋体" w:cs="宋体"/>
          <w:sz w:val="21"/>
          <w:szCs w:val="21"/>
          <w:lang w:eastAsia="zh-CN"/>
        </w:rPr>
        <w:t>、扫描电机位置微调和记忆、大光斑、磨削</w:t>
      </w:r>
      <w:r>
        <w:rPr>
          <w:rFonts w:hint="eastAsia" w:ascii="宋体" w:hAnsi="宋体" w:eastAsia="宋体" w:cs="宋体"/>
          <w:sz w:val="21"/>
          <w:szCs w:val="21"/>
        </w:rPr>
        <w:t>等多种功能。具有静音可选模式。</w:t>
      </w:r>
    </w:p>
    <w:p>
      <w:pPr>
        <w:spacing w:line="360" w:lineRule="auto"/>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cs="宋体"/>
          <w:sz w:val="21"/>
          <w:szCs w:val="21"/>
          <w:lang w:eastAsia="zh-CN"/>
        </w:rPr>
        <w:t>、</w:t>
      </w:r>
      <w:r>
        <w:rPr>
          <w:rFonts w:hint="eastAsia" w:ascii="宋体" w:hAnsi="宋体" w:eastAsia="宋体" w:cs="宋体"/>
          <w:sz w:val="21"/>
          <w:szCs w:val="21"/>
        </w:rPr>
        <w:t>开机自检：具有激光功率电流监测功能。</w:t>
      </w:r>
    </w:p>
    <w:p>
      <w:pPr>
        <w:spacing w:line="360" w:lineRule="auto"/>
        <w:rPr>
          <w:rFonts w:hint="eastAsia" w:ascii="宋体" w:hAnsi="宋体" w:eastAsia="宋体" w:cs="宋体"/>
          <w:sz w:val="21"/>
          <w:szCs w:val="21"/>
        </w:rPr>
      </w:pPr>
      <w:r>
        <w:rPr>
          <w:rFonts w:hint="eastAsia" w:ascii="宋体" w:hAnsi="宋体" w:eastAsia="宋体" w:cs="宋体"/>
          <w:sz w:val="21"/>
          <w:szCs w:val="21"/>
        </w:rPr>
        <w:t>16</w:t>
      </w:r>
      <w:r>
        <w:rPr>
          <w:rFonts w:hint="eastAsia" w:ascii="宋体" w:hAnsi="宋体" w:cs="宋体"/>
          <w:sz w:val="21"/>
          <w:szCs w:val="21"/>
          <w:lang w:eastAsia="zh-CN"/>
        </w:rPr>
        <w:t>、</w:t>
      </w:r>
      <w:r>
        <w:rPr>
          <w:rFonts w:hint="eastAsia" w:ascii="宋体" w:hAnsi="宋体" w:eastAsia="宋体" w:cs="宋体"/>
          <w:sz w:val="21"/>
          <w:szCs w:val="21"/>
        </w:rPr>
        <w:t>安全保护功能：激光器具有光闸保护功能，断水、过载双重保护</w:t>
      </w:r>
    </w:p>
    <w:p>
      <w:pPr>
        <w:spacing w:line="360" w:lineRule="auto"/>
        <w:rPr>
          <w:rFonts w:hint="eastAsia" w:ascii="宋体" w:hAnsi="宋体" w:eastAsia="宋体" w:cs="宋体"/>
          <w:sz w:val="21"/>
          <w:szCs w:val="21"/>
        </w:rPr>
      </w:pPr>
      <w:r>
        <w:rPr>
          <w:rFonts w:hint="eastAsia" w:ascii="宋体" w:hAnsi="宋体" w:eastAsia="宋体" w:cs="宋体"/>
          <w:sz w:val="21"/>
          <w:szCs w:val="21"/>
        </w:rPr>
        <w:t>17</w:t>
      </w:r>
      <w:r>
        <w:rPr>
          <w:rFonts w:hint="eastAsia" w:ascii="宋体" w:hAnsi="宋体" w:cs="宋体"/>
          <w:sz w:val="21"/>
          <w:szCs w:val="21"/>
          <w:lang w:eastAsia="zh-CN"/>
        </w:rPr>
        <w:t>、</w:t>
      </w:r>
      <w:r>
        <w:rPr>
          <w:rFonts w:hint="eastAsia" w:ascii="宋体" w:hAnsi="宋体" w:eastAsia="宋体" w:cs="宋体"/>
          <w:sz w:val="21"/>
          <w:szCs w:val="21"/>
        </w:rPr>
        <w:t>输入电源：单相AC220V / 50Hz，5A，输入功率500VA。</w:t>
      </w:r>
    </w:p>
    <w:p>
      <w:pPr>
        <w:keepNext/>
        <w:keepLines/>
        <w:spacing w:line="360" w:lineRule="auto"/>
        <w:jc w:val="center"/>
        <w:outlineLvl w:val="1"/>
        <w:rPr>
          <w:rFonts w:hint="eastAsia" w:ascii="宋体" w:hAnsi="宋体" w:eastAsia="宋体" w:cs="宋体"/>
          <w:b/>
          <w:bCs/>
          <w:color w:val="auto"/>
          <w:sz w:val="32"/>
          <w:szCs w:val="32"/>
        </w:rPr>
      </w:pPr>
    </w:p>
    <w:p>
      <w:pPr>
        <w:keepNext/>
        <w:keepLines/>
        <w:spacing w:line="360" w:lineRule="auto"/>
        <w:jc w:val="both"/>
        <w:outlineLvl w:val="1"/>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三、商务要求</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一</w:t>
      </w:r>
      <w:r>
        <w:rPr>
          <w:rFonts w:hint="eastAsia" w:ascii="宋体" w:hAnsi="宋体" w:cs="宋体"/>
          <w:color w:val="auto"/>
          <w:sz w:val="21"/>
          <w:szCs w:val="21"/>
          <w:lang w:val="en-US" w:eastAsia="zh-CN"/>
        </w:rPr>
        <w:t>）</w:t>
      </w:r>
      <w:r>
        <w:rPr>
          <w:rFonts w:hint="eastAsia" w:ascii="宋体" w:hAnsi="宋体" w:eastAsia="宋体" w:cs="宋体"/>
          <w:b/>
          <w:bCs/>
          <w:color w:val="auto"/>
          <w:kern w:val="44"/>
          <w:sz w:val="21"/>
          <w:szCs w:val="21"/>
          <w:highlight w:val="none"/>
        </w:rPr>
        <w:t>交货时间、地点及方式</w:t>
      </w:r>
    </w:p>
    <w:p>
      <w:pPr>
        <w:keepNext w:val="0"/>
        <w:keepLines w:val="0"/>
        <w:widowControl/>
        <w:suppressLineNumbers w:val="0"/>
        <w:spacing w:before="75" w:beforeAutospacing="0" w:line="420" w:lineRule="atLeast"/>
        <w:ind w:left="75" w:firstLine="3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1、交货时间：</w:t>
      </w:r>
      <w:r>
        <w:rPr>
          <w:rFonts w:hint="eastAsia" w:ascii="宋体" w:hAnsi="宋体" w:eastAsia="宋体" w:cs="宋体"/>
          <w:color w:val="auto"/>
          <w:sz w:val="21"/>
          <w:szCs w:val="21"/>
          <w:highlight w:val="none"/>
          <w:lang w:val="en-US" w:eastAsia="zh-CN"/>
        </w:rPr>
        <w:t>自合同签订之日起</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日内，完成全部货物交货、运输、安装、检测、验收，供采购人使用。</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2、交货地点：采购方指定地点；</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3、交货方式：按采购人要求送达指定地点安装调试完毕并验收合格。</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color w:val="auto"/>
          <w:sz w:val="21"/>
          <w:szCs w:val="21"/>
          <w:highlight w:val="none"/>
        </w:rPr>
      </w:pPr>
      <w:bookmarkStart w:id="1" w:name="_Toc32664"/>
      <w:bookmarkStart w:id="2" w:name="_Toc30496"/>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二</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产品运输、保管及保险</w:t>
      </w:r>
      <w:bookmarkEnd w:id="1"/>
      <w:bookmarkEnd w:id="2"/>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1、中标单位负责保证货物在没有任何损坏和腐蚀的情况下安全运抵合同规定的交货地点，应承担由于其包装或防护措施不妥而</w:t>
      </w:r>
      <w:r>
        <w:rPr>
          <w:rFonts w:hint="eastAsia" w:ascii="宋体" w:hAnsi="宋体" w:cs="宋体"/>
          <w:color w:val="auto"/>
          <w:sz w:val="21"/>
          <w:szCs w:val="21"/>
          <w:highlight w:val="none"/>
          <w:lang w:val="en-US" w:eastAsia="zh-CN"/>
        </w:rPr>
        <w:t>引</w:t>
      </w:r>
      <w:r>
        <w:rPr>
          <w:rFonts w:hint="eastAsia" w:ascii="宋体" w:hAnsi="宋体" w:eastAsia="宋体" w:cs="宋体"/>
          <w:color w:val="auto"/>
          <w:sz w:val="21"/>
          <w:szCs w:val="21"/>
          <w:highlight w:val="none"/>
        </w:rPr>
        <w:t>起货物锈蚀、损坏和丢失的任何责任或费用；</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2、中标单位应对提供的货物在运输、存放及交货过程中的毁损或丢失进行保险投保，负责其派出的安装指导、服务人员的人身意外保险；</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3、货物包装采用符合中国免疫标准的材料，适于长途运输，做到防潮、防雨、防锈、防震，包装箱上应用中文标出装运标记；</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default" w:eastAsia="宋体"/>
          <w:lang w:val="en-US" w:eastAsia="zh-CN"/>
        </w:rPr>
      </w:pPr>
      <w:r>
        <w:rPr>
          <w:rFonts w:hint="eastAsia" w:ascii="宋体" w:hAnsi="宋体" w:eastAsia="宋体" w:cs="宋体"/>
          <w:color w:val="auto"/>
          <w:sz w:val="21"/>
          <w:szCs w:val="21"/>
          <w:highlight w:val="none"/>
        </w:rPr>
        <w:t>4、每个包装箱的外部应附有一套详细的装箱单正本。每个包装箱的内部应附有装箱单、质量证明书，有关的技术文件，说明书，产品合格证等。</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color w:val="auto"/>
          <w:sz w:val="21"/>
          <w:szCs w:val="21"/>
          <w:highlight w:val="none"/>
        </w:rPr>
      </w:pPr>
      <w:bookmarkStart w:id="3" w:name="_Toc28153"/>
      <w:bookmarkStart w:id="4" w:name="_Toc29255"/>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三</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验收标准和方法</w:t>
      </w:r>
      <w:bookmarkEnd w:id="3"/>
      <w:bookmarkEnd w:id="4"/>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1、本项目</w:t>
      </w:r>
      <w:r>
        <w:rPr>
          <w:rFonts w:hint="eastAsia" w:ascii="宋体" w:hAnsi="宋体" w:eastAsia="宋体" w:cs="宋体"/>
          <w:color w:val="auto"/>
          <w:sz w:val="21"/>
          <w:szCs w:val="21"/>
          <w:highlight w:val="none"/>
          <w:lang w:val="en-US" w:eastAsia="zh-CN"/>
        </w:rPr>
        <w:t>由</w:t>
      </w:r>
      <w:r>
        <w:rPr>
          <w:rFonts w:hint="eastAsia" w:ascii="宋体" w:hAnsi="宋体" w:eastAsia="宋体" w:cs="宋体"/>
          <w:color w:val="auto"/>
          <w:sz w:val="21"/>
          <w:szCs w:val="21"/>
          <w:highlight w:val="none"/>
        </w:rPr>
        <w:t>采购单位验收，所有合同款项必须在验收合格后才能支付。</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2、中标单位负责产品安装完成后与相关部门协调验收工作，提供正式的货物验收、检测等相关报告、证明文件。相关一切费用均由投标方承担，验收报告作为申请付款的凭证之一；</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3、验收过程中产生纠纷的，由监督部门认定的检测机构检测,</w:t>
      </w:r>
      <w:r>
        <w:rPr>
          <w:rFonts w:hint="eastAsia" w:ascii="宋体" w:hAnsi="宋体" w:cs="宋体"/>
          <w:color w:val="auto"/>
          <w:sz w:val="21"/>
          <w:szCs w:val="21"/>
          <w:highlight w:val="none"/>
          <w:lang w:val="en-US" w:eastAsia="zh-CN"/>
        </w:rPr>
        <w:t>费用及相关责任由责任单位承担</w:t>
      </w:r>
      <w:r>
        <w:rPr>
          <w:rFonts w:hint="eastAsia" w:ascii="宋体" w:hAnsi="宋体" w:eastAsia="宋体" w:cs="宋体"/>
          <w:color w:val="auto"/>
          <w:sz w:val="21"/>
          <w:szCs w:val="21"/>
          <w:highlight w:val="none"/>
        </w:rPr>
        <w:t>；</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如因中标单位原因导致项目验收不合格，由中标单位负责返工直至合格，有关返工、再行验收，以及给采购人造成的损失等费用由中标单位承担。连续两次项目验收不合格的，采购人可终止合同，另行按规定选择其他供应商采购，由此带来的一切损失由中标单位承担；</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bookmarkStart w:id="5" w:name="_Toc3695"/>
      <w:bookmarkStart w:id="6" w:name="_Toc6773"/>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四</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售后服务</w:t>
      </w:r>
      <w:bookmarkEnd w:id="5"/>
      <w:bookmarkEnd w:id="6"/>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1、质保期限：</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TW" w:eastAsia="zh-TW"/>
        </w:rPr>
        <w:t>年</w:t>
      </w:r>
      <w:r>
        <w:rPr>
          <w:rFonts w:hint="eastAsia" w:ascii="宋体" w:hAnsi="宋体" w:eastAsia="宋体" w:cs="宋体"/>
          <w:color w:val="auto"/>
          <w:sz w:val="21"/>
          <w:szCs w:val="21"/>
          <w:highlight w:val="none"/>
          <w:lang w:val="en-US" w:eastAsia="zh-CN"/>
        </w:rPr>
        <w:t>质保期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质保期从验收合格后开始计算，质保期内出现任何质量问题（人为破坏或自然灾害等不可抗力除外），由成交单位负责全免费（免全部工时费、材料费、管理费、财务费等等）更换或维修</w:t>
      </w:r>
      <w:r>
        <w:rPr>
          <w:rFonts w:hint="eastAsia" w:ascii="宋体" w:hAnsi="宋体" w:eastAsia="宋体" w:cs="宋体"/>
          <w:color w:val="auto"/>
          <w:sz w:val="21"/>
          <w:szCs w:val="21"/>
          <w:highlight w:val="none"/>
          <w:lang w:eastAsia="zh-CN"/>
        </w:rPr>
        <w:t>，</w:t>
      </w:r>
      <w:r>
        <w:rPr>
          <w:rFonts w:hint="eastAsia" w:ascii="宋体" w:hAnsi="宋体" w:eastAsia="宋体" w:cs="宋体"/>
          <w:bCs/>
          <w:kern w:val="2"/>
          <w:sz w:val="21"/>
          <w:szCs w:val="21"/>
          <w:lang w:val="en-US" w:eastAsia="zh-CN" w:bidi="ar-SA"/>
        </w:rPr>
        <w:t>期满后可同时提供终身维修保养服务，</w:t>
      </w:r>
      <w:r>
        <w:rPr>
          <w:rFonts w:hint="eastAsia" w:ascii="宋体" w:hAnsi="宋体" w:eastAsia="宋体" w:cs="宋体"/>
          <w:snapToGrid w:val="0"/>
          <w:color w:val="000000"/>
          <w:kern w:val="0"/>
          <w:sz w:val="21"/>
          <w:szCs w:val="21"/>
        </w:rPr>
        <w:t>维修只收取材料费</w:t>
      </w:r>
      <w:r>
        <w:rPr>
          <w:rFonts w:hint="eastAsia" w:ascii="宋体" w:hAnsi="宋体" w:eastAsia="宋体" w:cs="宋体"/>
          <w:snapToGrid w:val="0"/>
          <w:color w:val="000000"/>
          <w:kern w:val="0"/>
          <w:sz w:val="21"/>
          <w:szCs w:val="21"/>
          <w:lang w:eastAsia="zh-CN"/>
        </w:rPr>
        <w:t>，</w:t>
      </w:r>
      <w:r>
        <w:rPr>
          <w:rFonts w:hint="eastAsia" w:ascii="宋体" w:hAnsi="宋体" w:eastAsia="宋体" w:cs="宋体"/>
          <w:snapToGrid w:val="0"/>
          <w:color w:val="000000"/>
          <w:kern w:val="0"/>
          <w:sz w:val="21"/>
          <w:szCs w:val="21"/>
          <w:lang w:val="en-US" w:eastAsia="zh-CN"/>
        </w:rPr>
        <w:t>不收取工时费用。</w:t>
      </w:r>
      <w:r>
        <w:rPr>
          <w:rFonts w:hint="eastAsia" w:ascii="宋体" w:hAnsi="宋体" w:eastAsia="宋体" w:cs="宋体"/>
          <w:color w:val="auto"/>
          <w:sz w:val="21"/>
          <w:szCs w:val="21"/>
          <w:lang w:eastAsia="zh-CN"/>
        </w:rPr>
        <w:t>提供所有备品备件及零配件报价清单,并承诺质保期满后</w:t>
      </w:r>
      <w:r>
        <w:rPr>
          <w:rFonts w:hint="eastAsia" w:ascii="宋体" w:hAnsi="宋体" w:eastAsia="宋体" w:cs="宋体"/>
          <w:color w:val="auto"/>
          <w:sz w:val="21"/>
          <w:szCs w:val="21"/>
          <w:lang w:val="en-US" w:eastAsia="zh-CN"/>
        </w:rPr>
        <w:t>不高于</w:t>
      </w:r>
      <w:r>
        <w:rPr>
          <w:rFonts w:hint="eastAsia" w:ascii="宋体" w:hAnsi="宋体" w:eastAsia="宋体" w:cs="宋体"/>
          <w:color w:val="auto"/>
          <w:sz w:val="21"/>
          <w:szCs w:val="21"/>
          <w:lang w:eastAsia="zh-CN"/>
        </w:rPr>
        <w:t>此清单报价收取材料费。</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服务热线支持：</w:t>
      </w:r>
      <w:r>
        <w:rPr>
          <w:rFonts w:hint="eastAsia" w:ascii="宋体" w:hAnsi="宋体" w:eastAsia="宋体" w:cs="宋体"/>
          <w:color w:val="auto"/>
          <w:sz w:val="21"/>
          <w:szCs w:val="21"/>
          <w:highlight w:val="none"/>
          <w:lang w:val="en-US" w:eastAsia="zh-CN"/>
        </w:rPr>
        <w:t>提供7×24小时的免费咨询服务，由具备相关资质的专业工程师负责协助，在货物使用过程中，遇到任何应用、操作、技术、维护等问题时，都可通过供应商提供的热线电话进行咨询，供应商必须耐心地解答各类问题。</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现场技术支持：</w:t>
      </w:r>
      <w:r>
        <w:rPr>
          <w:rFonts w:hint="eastAsia" w:ascii="宋体" w:hAnsi="宋体" w:eastAsia="宋体" w:cs="宋体"/>
          <w:color w:val="auto"/>
          <w:sz w:val="21"/>
          <w:szCs w:val="21"/>
          <w:highlight w:val="none"/>
          <w:lang w:val="en-US" w:eastAsia="zh-CN"/>
        </w:rPr>
        <w:t>如发生故障，在接到采购人的邮件、信函或电话等通知后，要求供应商在2小时内响应，接到故障电话后（省内的2小时到达现场，省外的48小时内到达现场解决问题）。在免费质保期内均不再收取由此产生的任何费用。</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供应商在收到故障通知后5天内没有弥补缺陷，采购人可自行采取必要的补救措施，由此产生的费用由供应商承担。</w:t>
      </w:r>
    </w:p>
    <w:p>
      <w:pPr>
        <w:pStyle w:val="10"/>
        <w:keepNext w:val="0"/>
        <w:keepLines w:val="0"/>
        <w:pageBreakBefore w:val="0"/>
        <w:widowControl w:val="0"/>
        <w:numPr>
          <w:ilvl w:val="0"/>
          <w:numId w:val="0"/>
        </w:numPr>
        <w:tabs>
          <w:tab w:val="left" w:pos="540"/>
        </w:tabs>
        <w:kinsoku/>
        <w:wordWrap/>
        <w:overflowPunct/>
        <w:topLinePunct w:val="0"/>
        <w:bidi w:val="0"/>
        <w:adjustRightInd/>
        <w:snapToGrid/>
        <w:spacing w:line="360" w:lineRule="auto"/>
        <w:textAlignment w:val="auto"/>
        <w:outlineLvl w:val="1"/>
        <w:rPr>
          <w:rFonts w:hint="eastAsia" w:ascii="宋体" w:hAnsi="宋体" w:eastAsia="宋体" w:cs="宋体"/>
          <w:b/>
          <w:bCs w:val="0"/>
          <w:kern w:val="2"/>
          <w:sz w:val="21"/>
          <w:szCs w:val="21"/>
          <w:lang w:val="en-US" w:eastAsia="zh-CN" w:bidi="ar-SA"/>
        </w:rPr>
      </w:pPr>
      <w:bookmarkStart w:id="7" w:name="_Toc17184"/>
      <w:r>
        <w:rPr>
          <w:rFonts w:hint="eastAsia" w:hAnsi="宋体" w:cs="宋体"/>
          <w:b/>
          <w:bCs w:val="0"/>
          <w:kern w:val="2"/>
          <w:sz w:val="21"/>
          <w:szCs w:val="21"/>
          <w:lang w:val="en-US" w:eastAsia="zh-CN" w:bidi="ar-SA"/>
        </w:rPr>
        <w:t>（</w:t>
      </w:r>
      <w:r>
        <w:rPr>
          <w:rFonts w:hint="eastAsia" w:ascii="宋体" w:hAnsi="宋体" w:eastAsia="宋体" w:cs="宋体"/>
          <w:b/>
          <w:bCs w:val="0"/>
          <w:kern w:val="2"/>
          <w:sz w:val="21"/>
          <w:szCs w:val="21"/>
          <w:lang w:val="en-US" w:eastAsia="zh-CN" w:bidi="ar-SA"/>
        </w:rPr>
        <w:t>五</w:t>
      </w:r>
      <w:r>
        <w:rPr>
          <w:rFonts w:hint="eastAsia" w:hAnsi="宋体" w:cs="宋体"/>
          <w:b/>
          <w:bCs w:val="0"/>
          <w:kern w:val="2"/>
          <w:sz w:val="21"/>
          <w:szCs w:val="21"/>
          <w:lang w:val="en-US" w:eastAsia="zh-CN" w:bidi="ar-SA"/>
        </w:rPr>
        <w:t>）</w:t>
      </w:r>
      <w:r>
        <w:rPr>
          <w:rFonts w:hint="eastAsia" w:ascii="宋体" w:hAnsi="宋体" w:eastAsia="宋体" w:cs="宋体"/>
          <w:b/>
          <w:bCs w:val="0"/>
          <w:kern w:val="2"/>
          <w:sz w:val="21"/>
          <w:szCs w:val="21"/>
          <w:lang w:val="en-US" w:eastAsia="zh-CN" w:bidi="ar-SA"/>
        </w:rPr>
        <w:t>安装与调试</w:t>
      </w:r>
      <w:bookmarkEnd w:id="7"/>
    </w:p>
    <w:p>
      <w:pPr>
        <w:keepNext w:val="0"/>
        <w:keepLines w:val="0"/>
        <w:pageBreakBefore w:val="0"/>
        <w:widowControl w:val="0"/>
        <w:numPr>
          <w:ilvl w:val="0"/>
          <w:numId w:val="0"/>
        </w:numPr>
        <w:tabs>
          <w:tab w:val="left" w:pos="567"/>
        </w:tabs>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1、供应商必须依照招标文件的要求和投标文件的承诺，将设备、系统安装并调试至正常运行的最佳状态。</w:t>
      </w:r>
    </w:p>
    <w:p>
      <w:pPr>
        <w:keepNext w:val="0"/>
        <w:keepLines w:val="0"/>
        <w:pageBreakBefore w:val="0"/>
        <w:widowControl w:val="0"/>
        <w:numPr>
          <w:ilvl w:val="0"/>
          <w:numId w:val="0"/>
        </w:numPr>
        <w:tabs>
          <w:tab w:val="left" w:pos="567"/>
        </w:tabs>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2、合同设备安装</w:t>
      </w:r>
    </w:p>
    <w:p>
      <w:pPr>
        <w:keepNext w:val="0"/>
        <w:keepLines w:val="0"/>
        <w:pageBreakBefore w:val="0"/>
        <w:widowControl w:val="0"/>
        <w:numPr>
          <w:ilvl w:val="0"/>
          <w:numId w:val="0"/>
        </w:numPr>
        <w:kinsoku/>
        <w:wordWrap/>
        <w:overflowPunct/>
        <w:topLinePunct w:val="0"/>
        <w:bidi w:val="0"/>
        <w:adjustRightInd/>
        <w:snapToGrid/>
        <w:spacing w:line="360" w:lineRule="auto"/>
        <w:ind w:left="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2.1、供应商负责合同设备的安装，一切费用由供应商负责。</w:t>
      </w:r>
    </w:p>
    <w:p>
      <w:pPr>
        <w:keepNext w:val="0"/>
        <w:keepLines w:val="0"/>
        <w:pageBreakBefore w:val="0"/>
        <w:widowControl w:val="0"/>
        <w:numPr>
          <w:ilvl w:val="0"/>
          <w:numId w:val="0"/>
        </w:numPr>
        <w:kinsoku/>
        <w:wordWrap/>
        <w:overflowPunct/>
        <w:topLinePunct w:val="0"/>
        <w:bidi w:val="0"/>
        <w:adjustRightInd/>
        <w:snapToGrid/>
        <w:spacing w:line="360" w:lineRule="auto"/>
        <w:ind w:left="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2.2、供应商安装时须对各安装场地内的其他设备、设施有良好保护措施。</w:t>
      </w:r>
    </w:p>
    <w:p>
      <w:pPr>
        <w:keepNext w:val="0"/>
        <w:keepLines w:val="0"/>
        <w:pageBreakBefore w:val="0"/>
        <w:widowControl w:val="0"/>
        <w:numPr>
          <w:ilvl w:val="0"/>
          <w:numId w:val="0"/>
        </w:numPr>
        <w:kinsoku/>
        <w:wordWrap/>
        <w:overflowPunct/>
        <w:topLinePunct w:val="0"/>
        <w:bidi w:val="0"/>
        <w:adjustRightInd/>
        <w:snapToGrid/>
        <w:spacing w:line="360" w:lineRule="auto"/>
        <w:ind w:left="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2.3、</w:t>
      </w:r>
      <w:r>
        <w:rPr>
          <w:rFonts w:hint="eastAsia" w:ascii="宋体" w:hAnsi="宋体" w:eastAsia="宋体" w:cs="宋体"/>
          <w:bCs/>
          <w:kern w:val="2"/>
          <w:sz w:val="21"/>
          <w:szCs w:val="21"/>
          <w:lang w:val="zh-TW" w:eastAsia="zh-TW" w:bidi="ar-SA"/>
        </w:rPr>
        <w:t>仪器的安装、调试：由厂家专职工程师负责，到医院现场安装、调试</w:t>
      </w:r>
      <w:r>
        <w:rPr>
          <w:rFonts w:hint="eastAsia" w:ascii="宋体" w:hAnsi="宋体" w:eastAsia="宋体" w:cs="宋体"/>
          <w:bCs/>
          <w:kern w:val="2"/>
          <w:sz w:val="21"/>
          <w:szCs w:val="21"/>
          <w:lang w:val="en-US" w:eastAsia="zh-CN" w:bidi="ar-SA"/>
        </w:rPr>
        <w:t>。</w:t>
      </w:r>
    </w:p>
    <w:p>
      <w:pPr>
        <w:pStyle w:val="6"/>
        <w:rPr>
          <w:rFonts w:hint="eastAsia" w:ascii="宋体" w:hAnsi="宋体" w:eastAsia="宋体" w:cs="宋体"/>
          <w:sz w:val="21"/>
          <w:szCs w:val="21"/>
          <w:lang w:val="en-US" w:eastAsia="zh-CN"/>
        </w:rPr>
      </w:pPr>
      <w:r>
        <w:rPr>
          <w:rFonts w:hint="eastAsia" w:ascii="宋体" w:hAnsi="宋体" w:eastAsia="宋体" w:cs="宋体"/>
          <w:bCs/>
          <w:kern w:val="2"/>
          <w:sz w:val="21"/>
          <w:szCs w:val="21"/>
          <w:lang w:val="en-US" w:eastAsia="zh-CN" w:bidi="ar-SA"/>
        </w:rPr>
        <w:t xml:space="preserve">    2.4、</w:t>
      </w:r>
      <w:r>
        <w:rPr>
          <w:rFonts w:hint="eastAsia" w:ascii="宋体" w:hAnsi="宋体" w:eastAsia="宋体" w:cs="宋体"/>
          <w:snapToGrid w:val="0"/>
          <w:color w:val="000000"/>
          <w:kern w:val="0"/>
          <w:sz w:val="21"/>
          <w:szCs w:val="21"/>
          <w:lang w:val="en-US" w:eastAsia="zh-CN"/>
        </w:rPr>
        <w:t>产品的出场日期到安装日不能超过六个月。</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bookmarkStart w:id="8" w:name="_Toc13739"/>
      <w:bookmarkStart w:id="9" w:name="_Toc15039"/>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六</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培训要求</w:t>
      </w:r>
      <w:bookmarkEnd w:id="8"/>
      <w:bookmarkEnd w:id="9"/>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中标单位应对</w:t>
      </w:r>
      <w:r>
        <w:rPr>
          <w:rFonts w:hint="eastAsia" w:ascii="宋体" w:hAnsi="宋体" w:eastAsia="宋体" w:cs="宋体"/>
          <w:color w:val="auto"/>
          <w:sz w:val="21"/>
          <w:szCs w:val="21"/>
          <w:highlight w:val="none"/>
          <w:lang w:eastAsia="zh-CN"/>
        </w:rPr>
        <w:t>项目</w:t>
      </w:r>
      <w:r>
        <w:rPr>
          <w:rFonts w:hint="eastAsia" w:ascii="宋体" w:hAnsi="宋体" w:eastAsia="宋体" w:cs="宋体"/>
          <w:color w:val="auto"/>
          <w:sz w:val="21"/>
          <w:szCs w:val="21"/>
          <w:highlight w:val="none"/>
        </w:rPr>
        <w:t>的管理、维护和使用等提供相应的培训。具体培训要求包括：</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1、安装完成后对用户进行培训，要确保用户能熟练操作使用产品。培训所使用的语言和教材必须是中文；</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2、中标单位负责提供培训所需计划和资料（包括纸质文档和电子文档），招标人有权在系统内部使用这些培训资料。培训材料包括软件系统的功能说明书。</w:t>
      </w:r>
    </w:p>
    <w:p>
      <w:pPr>
        <w:adjustRightInd w:val="0"/>
        <w:snapToGrid w:val="0"/>
        <w:spacing w:line="440" w:lineRule="exact"/>
        <w:ind w:firstLine="420" w:firstLineChars="200"/>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3、投标单位必须承诺为业主方培训不少于2 名技术人员（</w:t>
      </w:r>
      <w:r>
        <w:rPr>
          <w:rFonts w:hint="eastAsia" w:ascii="宋体" w:hAnsi="宋体" w:eastAsia="宋体" w:cs="宋体"/>
          <w:sz w:val="21"/>
          <w:szCs w:val="21"/>
          <w:lang w:val="en-US" w:eastAsia="zh-CN"/>
        </w:rPr>
        <w:t>如业主方需要</w:t>
      </w:r>
      <w:r>
        <w:rPr>
          <w:rFonts w:hint="eastAsia" w:ascii="宋体" w:hAnsi="宋体" w:eastAsia="宋体" w:cs="宋体"/>
          <w:sz w:val="21"/>
          <w:szCs w:val="21"/>
          <w:lang w:val="zh-CN" w:eastAsia="zh-CN"/>
        </w:rPr>
        <w:t>），使其能处理简单的故障及日常维护使用。</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bookmarkStart w:id="10" w:name="_Toc30378"/>
      <w:bookmarkStart w:id="11" w:name="_Toc11126"/>
      <w:r>
        <w:rPr>
          <w:rFonts w:hint="eastAsia" w:ascii="宋体" w:hAnsi="宋体" w:cs="宋体"/>
          <w:b/>
          <w:bCs/>
          <w:color w:val="auto"/>
          <w:kern w:val="44"/>
          <w:sz w:val="21"/>
          <w:szCs w:val="21"/>
          <w:highlight w:val="none"/>
          <w:lang w:val="en-US" w:eastAsia="zh-CN"/>
        </w:rPr>
        <w:t>（七）</w:t>
      </w:r>
      <w:r>
        <w:rPr>
          <w:rFonts w:hint="eastAsia" w:ascii="宋体" w:hAnsi="宋体" w:eastAsia="宋体" w:cs="宋体"/>
          <w:b/>
          <w:bCs/>
          <w:color w:val="auto"/>
          <w:kern w:val="44"/>
          <w:sz w:val="21"/>
          <w:szCs w:val="21"/>
          <w:highlight w:val="none"/>
        </w:rPr>
        <w:t>付款方式(具体以合同为准)</w:t>
      </w:r>
      <w:bookmarkEnd w:id="10"/>
      <w:bookmarkEnd w:id="11"/>
    </w:p>
    <w:p>
      <w:pPr>
        <w:adjustRightInd w:val="0"/>
        <w:snapToGrid w:val="0"/>
        <w:spacing w:line="440" w:lineRule="exact"/>
        <w:ind w:firstLine="420" w:firstLineChars="200"/>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1、本项目不支付预付款；</w:t>
      </w:r>
    </w:p>
    <w:p>
      <w:pPr>
        <w:adjustRightInd w:val="0"/>
        <w:snapToGrid w:val="0"/>
        <w:spacing w:line="440" w:lineRule="exact"/>
        <w:ind w:firstLine="420" w:firstLineChars="200"/>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2、货到验收、安装、调试合格</w:t>
      </w:r>
      <w:r>
        <w:rPr>
          <w:rFonts w:hint="eastAsia" w:ascii="宋体" w:hAnsi="宋体" w:cs="宋体"/>
          <w:sz w:val="21"/>
          <w:szCs w:val="21"/>
          <w:lang w:val="en-US" w:eastAsia="zh-CN"/>
        </w:rPr>
        <w:t>后</w:t>
      </w:r>
      <w:r>
        <w:rPr>
          <w:rFonts w:hint="eastAsia" w:ascii="宋体" w:hAnsi="宋体" w:eastAsia="宋体" w:cs="宋体"/>
          <w:sz w:val="21"/>
          <w:szCs w:val="21"/>
          <w:lang w:val="zh-CN" w:eastAsia="zh-CN"/>
        </w:rPr>
        <w:t>一个月内</w:t>
      </w:r>
      <w:r>
        <w:rPr>
          <w:rFonts w:hint="eastAsia" w:ascii="宋体" w:hAnsi="宋体" w:eastAsia="宋体" w:cs="宋体"/>
          <w:sz w:val="21"/>
          <w:szCs w:val="21"/>
          <w:lang w:val="en-US" w:eastAsia="zh-CN"/>
        </w:rPr>
        <w:t>采购人在收到正式税务发票后</w:t>
      </w:r>
      <w:r>
        <w:rPr>
          <w:rFonts w:hint="eastAsia" w:ascii="宋体" w:hAnsi="宋体" w:cs="宋体"/>
          <w:sz w:val="21"/>
          <w:szCs w:val="21"/>
          <w:lang w:val="en-US" w:eastAsia="zh-CN"/>
        </w:rPr>
        <w:t>5年分期付清所有货款。</w:t>
      </w:r>
      <w:r>
        <w:rPr>
          <w:rFonts w:hint="eastAsia" w:ascii="宋体" w:hAnsi="宋体" w:eastAsia="宋体" w:cs="宋体"/>
          <w:sz w:val="21"/>
          <w:szCs w:val="21"/>
          <w:lang w:val="zh-CN" w:eastAsia="zh-CN"/>
        </w:rPr>
        <w:t>（具体已签订合同为准）</w:t>
      </w:r>
    </w:p>
    <w:p>
      <w:pPr>
        <w:adjustRightInd w:val="0"/>
        <w:snapToGrid w:val="0"/>
        <w:spacing w:line="44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3、付款凭正式税务发票，发票须由中标方开具。</w:t>
      </w:r>
    </w:p>
    <w:p>
      <w:pPr>
        <w:ind w:firstLine="211" w:firstLineChars="100"/>
        <w:rPr>
          <w:rFonts w:hint="eastAsia" w:ascii="宋体" w:hAnsi="宋体" w:eastAsia="宋体" w:cs="宋体"/>
          <w:b/>
          <w:bCs/>
          <w:color w:val="auto"/>
          <w:sz w:val="21"/>
          <w:szCs w:val="21"/>
          <w:highlight w:val="none"/>
          <w:lang w:val="en-US" w:eastAsia="zh-CN"/>
        </w:rPr>
      </w:pPr>
    </w:p>
    <w:p>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iMWQyMDJiMTE3M2QyZGM2NjZlMjRiMWM1Njc3NTYifQ=="/>
  </w:docVars>
  <w:rsids>
    <w:rsidRoot w:val="08E51C29"/>
    <w:rsid w:val="08E51C29"/>
    <w:rsid w:val="0D28756B"/>
    <w:rsid w:val="14C52A4A"/>
    <w:rsid w:val="19373A08"/>
    <w:rsid w:val="26CF2656"/>
    <w:rsid w:val="27246368"/>
    <w:rsid w:val="3D8A4BA3"/>
    <w:rsid w:val="45EF12D2"/>
    <w:rsid w:val="51786CDA"/>
    <w:rsid w:val="685A3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jc w:val="center"/>
      <w:outlineLvl w:val="0"/>
    </w:pPr>
    <w:rPr>
      <w:b/>
      <w:bCs/>
      <w:sz w:val="24"/>
      <w:szCs w:val="20"/>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widowControl/>
      <w:ind w:firstLine="420"/>
      <w:jc w:val="left"/>
    </w:pPr>
    <w:rPr>
      <w:kern w:val="0"/>
      <w:sz w:val="20"/>
      <w:szCs w:val="20"/>
    </w:rPr>
  </w:style>
  <w:style w:type="paragraph" w:customStyle="1" w:styleId="4">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5">
    <w:name w:val="annotation text"/>
    <w:basedOn w:val="1"/>
    <w:autoRedefine/>
    <w:semiHidden/>
    <w:qFormat/>
    <w:uiPriority w:val="0"/>
    <w:pPr>
      <w:jc w:val="left"/>
    </w:pPr>
  </w:style>
  <w:style w:type="paragraph" w:styleId="6">
    <w:name w:val="Body Text"/>
    <w:basedOn w:val="1"/>
    <w:next w:val="7"/>
    <w:autoRedefine/>
    <w:qFormat/>
    <w:uiPriority w:val="0"/>
    <w:pPr>
      <w:spacing w:after="120"/>
    </w:pPr>
    <w:rPr>
      <w:lang w:val="zh-CN"/>
    </w:rPr>
  </w:style>
  <w:style w:type="paragraph" w:styleId="7">
    <w:name w:val="Body Text First Indent"/>
    <w:basedOn w:val="6"/>
    <w:next w:val="1"/>
    <w:autoRedefine/>
    <w:unhideWhenUsed/>
    <w:qFormat/>
    <w:uiPriority w:val="99"/>
    <w:pPr>
      <w:ind w:firstLine="420" w:firstLineChars="100"/>
    </w:pPr>
  </w:style>
  <w:style w:type="paragraph" w:styleId="8">
    <w:name w:val="Body Text Indent"/>
    <w:basedOn w:val="1"/>
    <w:next w:val="9"/>
    <w:autoRedefine/>
    <w:qFormat/>
    <w:uiPriority w:val="0"/>
    <w:pPr>
      <w:spacing w:after="120"/>
      <w:ind w:left="420" w:leftChars="200"/>
    </w:pPr>
  </w:style>
  <w:style w:type="paragraph" w:styleId="9">
    <w:name w:val="Body Text First Indent 2"/>
    <w:basedOn w:val="8"/>
    <w:next w:val="3"/>
    <w:autoRedefine/>
    <w:qFormat/>
    <w:uiPriority w:val="0"/>
    <w:pPr>
      <w:ind w:firstLine="420" w:firstLineChars="200"/>
    </w:pPr>
  </w:style>
  <w:style w:type="paragraph" w:styleId="10">
    <w:name w:val="Plain Text"/>
    <w:basedOn w:val="1"/>
    <w:next w:val="1"/>
    <w:autoRedefine/>
    <w:qFormat/>
    <w:uiPriority w:val="0"/>
    <w:rPr>
      <w:rFonts w:ascii="宋体" w:hAnsi="Courier New" w:cs="Courier New"/>
      <w:szCs w:val="21"/>
    </w:rPr>
  </w:style>
  <w:style w:type="paragraph" w:styleId="11">
    <w:name w:val="Body Text 2"/>
    <w:basedOn w:val="1"/>
    <w:autoRedefine/>
    <w:qFormat/>
    <w:uiPriority w:val="0"/>
    <w:pPr>
      <w:spacing w:after="120" w:line="480" w:lineRule="auto"/>
    </w:pPr>
    <w:rPr>
      <w:lang w:val="zh-CN"/>
    </w:rPr>
  </w:style>
  <w:style w:type="table" w:styleId="13">
    <w:name w:val="Table Grid"/>
    <w:basedOn w:val="12"/>
    <w:autoRedefine/>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列出段落1"/>
    <w:basedOn w:val="1"/>
    <w:autoRedefine/>
    <w:qFormat/>
    <w:uiPriority w:val="0"/>
    <w:pPr>
      <w:ind w:firstLine="420" w:firstLineChars="200"/>
    </w:pPr>
    <w:rPr>
      <w:rFonts w:ascii="Calibri" w:hAnsi="Calibri"/>
      <w:szCs w:val="22"/>
    </w:rPr>
  </w:style>
  <w:style w:type="paragraph" w:customStyle="1" w:styleId="16">
    <w:name w:val="List Paragraph_c5745efb-b79d-4adc-a305-6685f047f37d"/>
    <w:basedOn w:val="1"/>
    <w:autoRedefine/>
    <w:qFormat/>
    <w:uiPriority w:val="34"/>
    <w:pPr>
      <w:ind w:firstLine="420" w:firstLineChars="200"/>
    </w:pPr>
  </w:style>
  <w:style w:type="paragraph" w:customStyle="1" w:styleId="1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10"/>
    <w:autoRedefine/>
    <w:qFormat/>
    <w:uiPriority w:val="0"/>
    <w:rPr>
      <w:rFonts w:hint="eastAsia" w:ascii="Times New Roman"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3302</Words>
  <Characters>3540</Characters>
  <Lines>0</Lines>
  <Paragraphs>0</Paragraphs>
  <TotalTime>0</TotalTime>
  <ScaleCrop>false</ScaleCrop>
  <LinksUpToDate>false</LinksUpToDate>
  <CharactersWithSpaces>3552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2023-09-20T05:46:00Z</dcterms:created>
  <dc:creator>Administrator</dc:creator>
  <cp:lastModifiedBy>小燕子</cp:lastModifiedBy>
  <dcterms:modified xsi:type="dcterms:W3CDTF">2024-06-07T03:10:12Z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6EFED572FCC54D48A231690B974DD60A_13</vt:lpwstr>
  </property>
</Properties>
</file>